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E621E" w14:textId="77777777" w:rsidR="00F70E8D" w:rsidRPr="009A7CD7" w:rsidRDefault="00F70E8D" w:rsidP="001B4D50">
      <w:pPr>
        <w:jc w:val="both"/>
        <w:rPr>
          <w:i/>
          <w:iCs/>
        </w:rPr>
      </w:pPr>
      <w:r w:rsidRPr="009A7CD7">
        <w:rPr>
          <w:b/>
          <w:bCs/>
        </w:rPr>
        <w:t xml:space="preserve">VISTA </w:t>
      </w:r>
      <w:r w:rsidRPr="009A7CD7">
        <w:t xml:space="preserve">la legge 5 febbraio 1992, n. 104, recante </w:t>
      </w:r>
      <w:r w:rsidRPr="009A7CD7">
        <w:rPr>
          <w:i/>
          <w:iCs/>
        </w:rPr>
        <w:t>Legge quadro per l’assistenza, l'integrazione sociale</w:t>
      </w:r>
    </w:p>
    <w:p w14:paraId="6CCF697E" w14:textId="59712689" w:rsidR="00F70E8D" w:rsidRPr="009A7CD7" w:rsidRDefault="00F70E8D" w:rsidP="001B4D50">
      <w:pPr>
        <w:spacing w:after="120"/>
        <w:jc w:val="both"/>
      </w:pPr>
      <w:r w:rsidRPr="009A7CD7">
        <w:rPr>
          <w:i/>
          <w:iCs/>
        </w:rPr>
        <w:t>e i diritti delle persone con disabilità</w:t>
      </w:r>
      <w:r w:rsidR="00674C8C" w:rsidRPr="009A7CD7">
        <w:t xml:space="preserve"> e successive modificazioni;</w:t>
      </w:r>
    </w:p>
    <w:p w14:paraId="44843796" w14:textId="38B3BBFE" w:rsidR="003B0315" w:rsidRPr="009A7CD7" w:rsidRDefault="003B0315" w:rsidP="001B4D50">
      <w:pPr>
        <w:spacing w:after="120"/>
        <w:jc w:val="both"/>
        <w:rPr>
          <w:bCs/>
        </w:rPr>
      </w:pPr>
      <w:r w:rsidRPr="009A7CD7">
        <w:rPr>
          <w:b/>
          <w:bCs/>
        </w:rPr>
        <w:t>VISTO</w:t>
      </w:r>
      <w:r w:rsidR="008D6EA7" w:rsidRPr="009A7CD7">
        <w:rPr>
          <w:b/>
          <w:bCs/>
        </w:rPr>
        <w:t xml:space="preserve"> </w:t>
      </w:r>
      <w:r w:rsidRPr="009A7CD7">
        <w:rPr>
          <w:bCs/>
        </w:rPr>
        <w:t xml:space="preserve">il decreto legislativo 30 dicembre 1992, n. 502, recante </w:t>
      </w:r>
      <w:r w:rsidRPr="009A7CD7">
        <w:rPr>
          <w:bCs/>
          <w:i/>
          <w:iCs/>
        </w:rPr>
        <w:t>Riordino della disciplina in materia sanitaria, a norma dell</w:t>
      </w:r>
      <w:r w:rsidR="00674C8C" w:rsidRPr="009A7CD7">
        <w:rPr>
          <w:bCs/>
          <w:i/>
          <w:iCs/>
        </w:rPr>
        <w:t>’</w:t>
      </w:r>
      <w:r w:rsidRPr="009A7CD7">
        <w:rPr>
          <w:bCs/>
          <w:i/>
          <w:iCs/>
        </w:rPr>
        <w:t>articolo 1 della legge 23 ottobre 1992, n. 421</w:t>
      </w:r>
      <w:r w:rsidRPr="009A7CD7">
        <w:rPr>
          <w:bCs/>
        </w:rPr>
        <w:t>,</w:t>
      </w:r>
      <w:r w:rsidRPr="009A7CD7">
        <w:rPr>
          <w:b/>
          <w:bCs/>
        </w:rPr>
        <w:t xml:space="preserve"> </w:t>
      </w:r>
      <w:r w:rsidRPr="009A7CD7">
        <w:rPr>
          <w:bCs/>
        </w:rPr>
        <w:t>con particolare riguardo all’articolo 3-septies concernente l’integrazione sociosanitaria;</w:t>
      </w:r>
    </w:p>
    <w:p w14:paraId="1D56F470" w14:textId="09843ADF" w:rsidR="004B5272" w:rsidRPr="009A7CD7" w:rsidRDefault="004B5272" w:rsidP="001B4D50">
      <w:pPr>
        <w:spacing w:after="120"/>
        <w:jc w:val="both"/>
        <w:rPr>
          <w:bCs/>
        </w:rPr>
      </w:pPr>
      <w:r w:rsidRPr="009A7CD7">
        <w:rPr>
          <w:b/>
          <w:bCs/>
        </w:rPr>
        <w:t xml:space="preserve">VISTO </w:t>
      </w:r>
      <w:r w:rsidRPr="009A7CD7">
        <w:rPr>
          <w:bCs/>
        </w:rPr>
        <w:t xml:space="preserve">l’articolo 3 della legge 14 gennaio 1994, n. 20, recante </w:t>
      </w:r>
      <w:r w:rsidRPr="009A7CD7">
        <w:rPr>
          <w:bCs/>
          <w:i/>
          <w:iCs/>
        </w:rPr>
        <w:t>Disposizioni in materia di giurisdizione e controllo della Corte dei conti</w:t>
      </w:r>
      <w:r w:rsidRPr="009A7CD7">
        <w:rPr>
          <w:bCs/>
        </w:rPr>
        <w:t>;</w:t>
      </w:r>
    </w:p>
    <w:p w14:paraId="26B1A2FA" w14:textId="436562A4" w:rsidR="003B0315" w:rsidRPr="009A7CD7" w:rsidRDefault="003B0315" w:rsidP="001B4D50">
      <w:pPr>
        <w:spacing w:after="120"/>
        <w:jc w:val="both"/>
        <w:rPr>
          <w:bCs/>
        </w:rPr>
      </w:pPr>
      <w:r w:rsidRPr="009A7CD7">
        <w:rPr>
          <w:b/>
        </w:rPr>
        <w:t>VISTA</w:t>
      </w:r>
      <w:r w:rsidR="008D6EA7" w:rsidRPr="009A7CD7">
        <w:rPr>
          <w:b/>
        </w:rPr>
        <w:t xml:space="preserve"> </w:t>
      </w:r>
      <w:r w:rsidRPr="009A7CD7">
        <w:rPr>
          <w:bCs/>
        </w:rPr>
        <w:t>la legge 8 novembre 2000, n. 328</w:t>
      </w:r>
      <w:r w:rsidR="006F3B54" w:rsidRPr="009A7CD7">
        <w:rPr>
          <w:bCs/>
        </w:rPr>
        <w:t>,</w:t>
      </w:r>
      <w:r w:rsidRPr="009A7CD7">
        <w:rPr>
          <w:bCs/>
        </w:rPr>
        <w:t xml:space="preserve"> recante </w:t>
      </w:r>
      <w:r w:rsidRPr="009A7CD7">
        <w:rPr>
          <w:bCs/>
          <w:i/>
          <w:iCs/>
        </w:rPr>
        <w:t>Legge quadro per la realizzazione del sistema integrato di interventi e servizi sociali</w:t>
      </w:r>
      <w:r w:rsidRPr="009A7CD7">
        <w:rPr>
          <w:bCs/>
        </w:rPr>
        <w:t>;</w:t>
      </w:r>
    </w:p>
    <w:p w14:paraId="69F9F2B9" w14:textId="6A44499B" w:rsidR="003B0315" w:rsidRPr="009A7CD7" w:rsidRDefault="003B0315" w:rsidP="001B4D50">
      <w:pPr>
        <w:spacing w:after="120"/>
        <w:ind w:right="-82"/>
        <w:jc w:val="both"/>
      </w:pPr>
      <w:r w:rsidRPr="009A7CD7">
        <w:rPr>
          <w:b/>
        </w:rPr>
        <w:t>VISTO</w:t>
      </w:r>
      <w:r w:rsidR="008D6EA7" w:rsidRPr="009A7CD7">
        <w:rPr>
          <w:b/>
        </w:rPr>
        <w:t xml:space="preserve"> </w:t>
      </w:r>
      <w:r w:rsidRPr="009A7CD7">
        <w:t xml:space="preserve">l’articolo 1, comma 1264, della legge 27 dicembre 2006, n. 296, recante </w:t>
      </w:r>
      <w:r w:rsidRPr="009A7CD7">
        <w:rPr>
          <w:i/>
          <w:iCs/>
        </w:rPr>
        <w:t>Disposizioni per la formazione del bilancio annuale e pluriennale dello Stato</w:t>
      </w:r>
      <w:r w:rsidR="0049585F" w:rsidRPr="009A7CD7">
        <w:t xml:space="preserve">, </w:t>
      </w:r>
      <w:r w:rsidRPr="009A7CD7">
        <w:t xml:space="preserve">che, al fine di garantire l’attuazione dei livelli essenziali delle prestazioni assistenziali su tutto il territorio nazionale con riguardo alle persone non autosufficienti, istituisce presso il Ministero della solidarietà sociale un fondo denominato Fondo per le non autosufficienze; </w:t>
      </w:r>
    </w:p>
    <w:p w14:paraId="4D3E7C39" w14:textId="272BA47D" w:rsidR="003B0315" w:rsidRPr="009A7CD7" w:rsidRDefault="003B0315" w:rsidP="001B4D50">
      <w:pPr>
        <w:spacing w:after="120"/>
        <w:jc w:val="both"/>
        <w:rPr>
          <w:bCs/>
        </w:rPr>
      </w:pPr>
      <w:r w:rsidRPr="009A7CD7">
        <w:rPr>
          <w:b/>
          <w:bCs/>
        </w:rPr>
        <w:t>VISTO</w:t>
      </w:r>
      <w:r w:rsidR="008D6EA7" w:rsidRPr="009A7CD7">
        <w:rPr>
          <w:b/>
          <w:bCs/>
        </w:rPr>
        <w:t xml:space="preserve"> </w:t>
      </w:r>
      <w:r w:rsidRPr="009A7CD7">
        <w:rPr>
          <w:bCs/>
        </w:rPr>
        <w:t xml:space="preserve">l’articolo 1, comma 1265, della legge </w:t>
      </w:r>
      <w:r w:rsidRPr="009A7CD7">
        <w:t>n. 296</w:t>
      </w:r>
      <w:r w:rsidR="006F3B54" w:rsidRPr="009A7CD7">
        <w:t xml:space="preserve"> del 2006</w:t>
      </w:r>
      <w:r w:rsidRPr="009A7CD7">
        <w:t>, come modificato dall’articolo 3, comma 4, lettera b), del decreto-legge</w:t>
      </w:r>
      <w:r w:rsidRPr="009A7CD7">
        <w:rPr>
          <w:bCs/>
        </w:rPr>
        <w:t xml:space="preserve"> 12 luglio 2018, n. 86, convertito, con modificazioni, dalla legge 9 agosto 2018, n. 97, </w:t>
      </w:r>
      <w:r w:rsidRPr="009A7CD7">
        <w:t xml:space="preserve">in base al quale gli atti e i provvedimenti concernenti l’utilizzazione del Fondo per le non autosufficienze sono adottati dal Presidente del Consiglio dei ministri, su proposta del Ministro delegato per la famiglia e le disabilità e il Ministro del lavoro e delle politiche sociali, di concerto con il Ministro della salute e il Ministro dell'economia e delle finanze, previa intesa in sede di Conferenza unificata di cui all'articolo </w:t>
      </w:r>
      <w:hyperlink r:id="rId11" w:anchor="id=10LX0000114903ART9,__m=document" w:history="1">
        <w:r w:rsidRPr="009A7CD7">
          <w:rPr>
            <w:rStyle w:val="Collegamentoipertestuale"/>
            <w:color w:val="auto"/>
            <w:u w:val="none"/>
          </w:rPr>
          <w:t>8</w:t>
        </w:r>
      </w:hyperlink>
      <w:r w:rsidRPr="009A7CD7">
        <w:t xml:space="preserve"> del </w:t>
      </w:r>
      <w:hyperlink r:id="rId12" w:anchor="id=10LX0000114903ART0,__m=document" w:history="1">
        <w:r w:rsidRPr="009A7CD7">
          <w:rPr>
            <w:rStyle w:val="Collegamentoipertestuale"/>
            <w:color w:val="auto"/>
            <w:u w:val="none"/>
          </w:rPr>
          <w:t>decreto legislativo 28 agosto 1997, n. 281</w:t>
        </w:r>
      </w:hyperlink>
      <w:r w:rsidRPr="009A7CD7">
        <w:rPr>
          <w:bCs/>
        </w:rPr>
        <w:t>;</w:t>
      </w:r>
    </w:p>
    <w:p w14:paraId="10783ED4" w14:textId="08B8C3E9" w:rsidR="0088524E" w:rsidRPr="009A7CD7" w:rsidRDefault="0088524E" w:rsidP="001B4D50">
      <w:pPr>
        <w:spacing w:after="120"/>
        <w:jc w:val="both"/>
        <w:rPr>
          <w:bCs/>
        </w:rPr>
      </w:pPr>
      <w:r w:rsidRPr="009A7CD7">
        <w:rPr>
          <w:b/>
        </w:rPr>
        <w:t>VISTA</w:t>
      </w:r>
      <w:r w:rsidRPr="009A7CD7">
        <w:rPr>
          <w:bCs/>
        </w:rPr>
        <w:t xml:space="preserve"> la Convenzione delle Nazioni Unite sui diritti delle persone con disabilità, fatta a New York il 13 dicembre 2006 e ratificata dall’Italia ai sensi della legge 3 marzo 2009, n. 18, e, in particolare gli articoli, 3, che definisce i principi generali e 19, concernente la vita indipendente e l’inclusione nella società;</w:t>
      </w:r>
    </w:p>
    <w:p w14:paraId="1FDF0109" w14:textId="747A8822" w:rsidR="00A76492" w:rsidRPr="009A7CD7" w:rsidRDefault="00A76492" w:rsidP="001B4D50">
      <w:pPr>
        <w:spacing w:after="120"/>
        <w:jc w:val="both"/>
        <w:rPr>
          <w:bCs/>
        </w:rPr>
      </w:pPr>
      <w:r w:rsidRPr="009A7CD7">
        <w:rPr>
          <w:b/>
          <w:bCs/>
        </w:rPr>
        <w:t>VISTO</w:t>
      </w:r>
      <w:r w:rsidRPr="009A7CD7">
        <w:rPr>
          <w:bCs/>
        </w:rPr>
        <w:t xml:space="preserve"> l’articolo 2, comma 109, della legge 23 dicembre 2009, n. 191, recante </w:t>
      </w:r>
      <w:r w:rsidRPr="009A7CD7">
        <w:rPr>
          <w:bCs/>
          <w:i/>
          <w:iCs/>
        </w:rPr>
        <w:t>Disposizioni per la formazione del bilancio annuale e pluriennale della Stato (legge finanziaria 2010)</w:t>
      </w:r>
      <w:r w:rsidRPr="009A7CD7">
        <w:rPr>
          <w:bCs/>
        </w:rPr>
        <w:t xml:space="preserve">, che, a decorrere dal 1° gennaio 2010, abroga l’articolo 5 della legge 30 novembre 1989, n. 386, relativo alla </w:t>
      </w:r>
      <w:r w:rsidRPr="009A7CD7">
        <w:rPr>
          <w:bCs/>
        </w:rPr>
        <w:lastRenderedPageBreak/>
        <w:t>partecipazione delle Province autonome di Trento e Bolzano alla ripartizione dei fondi speciali istituiti per garantire livelli minimi di prestazioni in modo uniforme su tutto il territorio nazionale;</w:t>
      </w:r>
    </w:p>
    <w:p w14:paraId="337E8A76" w14:textId="2251F58F" w:rsidR="00A76492" w:rsidRPr="009A7CD7" w:rsidRDefault="00A76492" w:rsidP="001B4D50">
      <w:pPr>
        <w:spacing w:after="120"/>
        <w:ind w:left="851" w:hanging="851"/>
        <w:jc w:val="both"/>
      </w:pPr>
      <w:r w:rsidRPr="009A7CD7">
        <w:rPr>
          <w:b/>
          <w:bCs/>
        </w:rPr>
        <w:t>VISTA</w:t>
      </w:r>
      <w:r w:rsidR="00FD6F01" w:rsidRPr="009A7CD7">
        <w:t xml:space="preserve"> </w:t>
      </w:r>
      <w:r w:rsidRPr="009A7CD7">
        <w:t xml:space="preserve">la legge 31 dicembre 2009, n. 196 recante </w:t>
      </w:r>
      <w:r w:rsidRPr="009A7CD7">
        <w:rPr>
          <w:i/>
          <w:iCs/>
        </w:rPr>
        <w:t>Legge di contabilità e finanza pubblica</w:t>
      </w:r>
      <w:r w:rsidRPr="009A7CD7">
        <w:t>;</w:t>
      </w:r>
    </w:p>
    <w:p w14:paraId="079C2936" w14:textId="0D215731" w:rsidR="00A76492" w:rsidRPr="009A7CD7" w:rsidRDefault="00A76492" w:rsidP="001B4D50">
      <w:pPr>
        <w:spacing w:after="120"/>
        <w:jc w:val="both"/>
      </w:pPr>
      <w:r w:rsidRPr="009A7CD7">
        <w:rPr>
          <w:b/>
        </w:rPr>
        <w:t>VISTO</w:t>
      </w:r>
      <w:r w:rsidR="008D6EA7" w:rsidRPr="009A7CD7">
        <w:rPr>
          <w:b/>
        </w:rPr>
        <w:t xml:space="preserve"> </w:t>
      </w:r>
      <w:r w:rsidRPr="009A7CD7">
        <w:t>l’articolo 1, comma 109, della legge 24 dicembre 2012, n. 228</w:t>
      </w:r>
      <w:r w:rsidR="004977B9" w:rsidRPr="009A7CD7">
        <w:t>,</w:t>
      </w:r>
      <w:r w:rsidRPr="009A7CD7">
        <w:t xml:space="preserve"> recante </w:t>
      </w:r>
      <w:r w:rsidRPr="009A7CD7">
        <w:rPr>
          <w:i/>
          <w:iCs/>
        </w:rPr>
        <w:t>Disposizioni per la formazione del bilancio annuale e pluriennale dello Stato (Legge di stabilità 2013)</w:t>
      </w:r>
      <w:r w:rsidR="00BF3B71" w:rsidRPr="009A7CD7">
        <w:t>,</w:t>
      </w:r>
      <w:r w:rsidRPr="009A7CD7">
        <w:t xml:space="preserve"> laddove dispone che le eventuali risorse derivanti dalle attività di accertamento della permanenza dei requisiti sanitari nei confronti dei titolari di invalidità civile, cecità civile, sordità civile, handicap e disabilità svolte dall’Istituto nazionale della previdenza sociale (INPS) e dalle verifiche straordinarie annue aggiuntive ivi previste, sono destinate ad incrementare il Fondo per le non autosufficienze sino alla concorrenza di 40 milioni di euro annui;</w:t>
      </w:r>
    </w:p>
    <w:p w14:paraId="413DEE3B" w14:textId="531AB077" w:rsidR="00A76492" w:rsidRPr="009A7CD7" w:rsidRDefault="00A76492" w:rsidP="001B4D50">
      <w:pPr>
        <w:spacing w:after="120"/>
        <w:jc w:val="both"/>
      </w:pPr>
      <w:r w:rsidRPr="009A7CD7">
        <w:rPr>
          <w:b/>
        </w:rPr>
        <w:t>VISTO</w:t>
      </w:r>
      <w:r w:rsidRPr="009A7CD7">
        <w:t xml:space="preserve"> l’articolo 1, comma 411, della legge 11 dicembre 2016, n. 232,</w:t>
      </w:r>
      <w:r w:rsidR="00930801" w:rsidRPr="009A7CD7">
        <w:t xml:space="preserve"> recante</w:t>
      </w:r>
      <w:r w:rsidR="00930801" w:rsidRPr="009A7CD7">
        <w:rPr>
          <w:color w:val="686868"/>
          <w:shd w:val="clear" w:color="auto" w:fill="FFFFFF"/>
        </w:rPr>
        <w:t xml:space="preserve"> </w:t>
      </w:r>
      <w:r w:rsidR="00930801" w:rsidRPr="009A7CD7">
        <w:rPr>
          <w:i/>
          <w:iCs/>
        </w:rPr>
        <w:t>Bilancio di previsione dello Stato per l'anno finanziario 2017 e bilancio pluriennale per il triennio 2017-2019</w:t>
      </w:r>
      <w:r w:rsidR="005C75C2" w:rsidRPr="009A7CD7">
        <w:t>,</w:t>
      </w:r>
      <w:r w:rsidRPr="009A7CD7">
        <w:t xml:space="preserve"> </w:t>
      </w:r>
      <w:r w:rsidR="005C75C2" w:rsidRPr="009A7CD7">
        <w:t>ai sensi del quale,</w:t>
      </w:r>
      <w:r w:rsidRPr="009A7CD7">
        <w:t xml:space="preserve"> in sede di revisione dei criteri di riparto del Fondo per le non autosufficienze previsti dall'articolo 1, comma 3, del decreto ministeriale di riparto del Fondo per il 2016, è compresa la condizione delle persone affette dal morbo di Alzheimer;</w:t>
      </w:r>
    </w:p>
    <w:p w14:paraId="53A7923E" w14:textId="49E4C6C0" w:rsidR="005F6AF5" w:rsidRPr="009A7CD7" w:rsidRDefault="005F6AF5" w:rsidP="001B4D50">
      <w:pPr>
        <w:spacing w:after="120"/>
        <w:jc w:val="both"/>
        <w:rPr>
          <w:bCs/>
        </w:rPr>
      </w:pPr>
      <w:r w:rsidRPr="009A7CD7">
        <w:rPr>
          <w:b/>
          <w:bCs/>
        </w:rPr>
        <w:t>VISTO</w:t>
      </w:r>
      <w:r w:rsidR="008D6EA7" w:rsidRPr="009A7CD7">
        <w:rPr>
          <w:b/>
          <w:bCs/>
        </w:rPr>
        <w:t xml:space="preserve"> </w:t>
      </w:r>
      <w:r w:rsidRPr="009A7CD7">
        <w:rPr>
          <w:bCs/>
        </w:rPr>
        <w:t>l’articolo 21 del decreto legislativo</w:t>
      </w:r>
      <w:r w:rsidR="005855BD" w:rsidRPr="009A7CD7">
        <w:rPr>
          <w:bCs/>
        </w:rPr>
        <w:t xml:space="preserve"> 15 settembre</w:t>
      </w:r>
      <w:r w:rsidRPr="009A7CD7">
        <w:rPr>
          <w:bCs/>
        </w:rPr>
        <w:t xml:space="preserve"> 2017,</w:t>
      </w:r>
      <w:r w:rsidR="005855BD" w:rsidRPr="009A7CD7">
        <w:rPr>
          <w:bCs/>
        </w:rPr>
        <w:t xml:space="preserve"> n. 147,</w:t>
      </w:r>
      <w:r w:rsidRPr="009A7CD7">
        <w:rPr>
          <w:bCs/>
        </w:rPr>
        <w:t xml:space="preserve"> </w:t>
      </w:r>
      <w:r w:rsidR="005C75C2" w:rsidRPr="009A7CD7">
        <w:rPr>
          <w:bCs/>
        </w:rPr>
        <w:t xml:space="preserve">recante </w:t>
      </w:r>
      <w:r w:rsidR="005C75C2" w:rsidRPr="009A7CD7">
        <w:rPr>
          <w:bCs/>
          <w:i/>
          <w:iCs/>
        </w:rPr>
        <w:t>Disposizioni per l'introduzione di una misura nazionale di contrasto alla povertà</w:t>
      </w:r>
      <w:r w:rsidR="005C75C2" w:rsidRPr="009A7CD7">
        <w:rPr>
          <w:bCs/>
        </w:rPr>
        <w:t xml:space="preserve">, </w:t>
      </w:r>
      <w:r w:rsidRPr="009A7CD7">
        <w:rPr>
          <w:bCs/>
        </w:rPr>
        <w:t xml:space="preserve">che istituisce la Rete della protezione e dell’inclusione sociale, e, in particolare, il comma 6, lettera c), </w:t>
      </w:r>
      <w:r w:rsidR="000A5CA2" w:rsidRPr="009A7CD7">
        <w:rPr>
          <w:bCs/>
        </w:rPr>
        <w:t xml:space="preserve">che attribuisce </w:t>
      </w:r>
      <w:r w:rsidRPr="009A7CD7">
        <w:rPr>
          <w:bCs/>
        </w:rPr>
        <w:t xml:space="preserve"> </w:t>
      </w:r>
      <w:r w:rsidR="000A5CA2" w:rsidRPr="009A7CD7">
        <w:rPr>
          <w:bCs/>
        </w:rPr>
        <w:t>al</w:t>
      </w:r>
      <w:r w:rsidRPr="009A7CD7">
        <w:rPr>
          <w:bCs/>
        </w:rPr>
        <w:t xml:space="preserve">la Rete </w:t>
      </w:r>
      <w:r w:rsidR="000A5CA2" w:rsidRPr="009A7CD7">
        <w:rPr>
          <w:bCs/>
        </w:rPr>
        <w:t>la</w:t>
      </w:r>
      <w:r w:rsidR="005C75C2" w:rsidRPr="009A7CD7">
        <w:rPr>
          <w:bCs/>
        </w:rPr>
        <w:t xml:space="preserve"> responsabil</w:t>
      </w:r>
      <w:r w:rsidR="000A5CA2" w:rsidRPr="009A7CD7">
        <w:rPr>
          <w:bCs/>
        </w:rPr>
        <w:t>ità di elaborare</w:t>
      </w:r>
      <w:r w:rsidR="005C75C2" w:rsidRPr="009A7CD7">
        <w:rPr>
          <w:bCs/>
        </w:rPr>
        <w:t xml:space="preserve"> </w:t>
      </w:r>
      <w:r w:rsidRPr="009A7CD7">
        <w:rPr>
          <w:bCs/>
        </w:rPr>
        <w:t>un</w:t>
      </w:r>
      <w:r w:rsidRPr="009A7CD7">
        <w:t xml:space="preserve"> Piano per la non autosufficienza, quale strumento programmatico per l’utilizzo delle risorse del Fondo per le non autosufficienze</w:t>
      </w:r>
      <w:r w:rsidR="005C75C2" w:rsidRPr="009A7CD7">
        <w:t xml:space="preserve"> </w:t>
      </w:r>
      <w:r w:rsidRPr="009A7CD7">
        <w:t>di cui all'</w:t>
      </w:r>
      <w:hyperlink r:id="rId13" w:anchor="id=10LX0000488506ART1263,__m=document" w:history="1">
        <w:r w:rsidRPr="009A7CD7">
          <w:rPr>
            <w:rStyle w:val="linkneltesto"/>
            <w:i w:val="0"/>
            <w:iCs w:val="0"/>
          </w:rPr>
          <w:t>articolo 1, comma 1264, della legge n. 296</w:t>
        </w:r>
      </w:hyperlink>
      <w:r w:rsidR="005855BD" w:rsidRPr="009A7CD7">
        <w:rPr>
          <w:rStyle w:val="linkneltesto"/>
          <w:i w:val="0"/>
          <w:iCs w:val="0"/>
        </w:rPr>
        <w:t xml:space="preserve"> del 2006</w:t>
      </w:r>
      <w:r w:rsidRPr="009A7CD7">
        <w:rPr>
          <w:bCs/>
        </w:rPr>
        <w:t xml:space="preserve">, nonché il comma 7, </w:t>
      </w:r>
      <w:r w:rsidR="000A5CA2" w:rsidRPr="009A7CD7">
        <w:rPr>
          <w:bCs/>
        </w:rPr>
        <w:t>secondo il quale il</w:t>
      </w:r>
      <w:r w:rsidR="005C75C2" w:rsidRPr="009A7CD7">
        <w:rPr>
          <w:bCs/>
        </w:rPr>
        <w:t xml:space="preserve"> </w:t>
      </w:r>
      <w:r w:rsidRPr="009A7CD7">
        <w:rPr>
          <w:bCs/>
        </w:rPr>
        <w:t>Piano</w:t>
      </w:r>
      <w:r w:rsidR="000A5CA2" w:rsidRPr="009A7CD7">
        <w:rPr>
          <w:bCs/>
        </w:rPr>
        <w:t xml:space="preserve"> ha</w:t>
      </w:r>
      <w:r w:rsidRPr="009A7CD7">
        <w:rPr>
          <w:bCs/>
        </w:rPr>
        <w:t xml:space="preserve"> natura triennale</w:t>
      </w:r>
      <w:r w:rsidR="00D27BF0" w:rsidRPr="009A7CD7">
        <w:rPr>
          <w:bCs/>
        </w:rPr>
        <w:t>,</w:t>
      </w:r>
      <w:r w:rsidRPr="009A7CD7">
        <w:rPr>
          <w:bCs/>
        </w:rPr>
        <w:t xml:space="preserve"> con eventuali aggiornamenti annuali</w:t>
      </w:r>
      <w:r w:rsidR="00D27BF0" w:rsidRPr="009A7CD7">
        <w:rPr>
          <w:bCs/>
        </w:rPr>
        <w:t xml:space="preserve">, </w:t>
      </w:r>
      <w:r w:rsidR="000A5CA2" w:rsidRPr="009A7CD7">
        <w:rPr>
          <w:bCs/>
        </w:rPr>
        <w:t>ed</w:t>
      </w:r>
      <w:r w:rsidRPr="009A7CD7">
        <w:rPr>
          <w:bCs/>
        </w:rPr>
        <w:t xml:space="preserve"> </w:t>
      </w:r>
      <w:r w:rsidR="000A5CA2" w:rsidRPr="009A7CD7">
        <w:rPr>
          <w:bCs/>
        </w:rPr>
        <w:t>è</w:t>
      </w:r>
      <w:r w:rsidRPr="009A7CD7">
        <w:rPr>
          <w:bCs/>
        </w:rPr>
        <w:t xml:space="preserve"> adottato nelle medesime modalità con le quali i fondi cui si riferisce sono ripartiti alle regioni;</w:t>
      </w:r>
    </w:p>
    <w:p w14:paraId="6DB954AF" w14:textId="68A98E90" w:rsidR="00A76492" w:rsidRPr="009A7CD7" w:rsidRDefault="00A76492" w:rsidP="001B4D50">
      <w:pPr>
        <w:adjustRightInd w:val="0"/>
        <w:spacing w:after="120"/>
        <w:jc w:val="both"/>
        <w:rPr>
          <w:bCs/>
        </w:rPr>
      </w:pPr>
      <w:r w:rsidRPr="009A7CD7">
        <w:rPr>
          <w:b/>
        </w:rPr>
        <w:t>VISTA</w:t>
      </w:r>
      <w:r w:rsidRPr="009A7CD7">
        <w:rPr>
          <w:bCs/>
        </w:rPr>
        <w:t xml:space="preserve"> la legge 30 dicembre 2021, n. 234, recante </w:t>
      </w:r>
      <w:r w:rsidRPr="009A7CD7">
        <w:rPr>
          <w:bCs/>
          <w:i/>
          <w:iCs/>
        </w:rPr>
        <w:t>Bilancio di previsione dello Stato per l</w:t>
      </w:r>
      <w:r w:rsidR="00D959BB" w:rsidRPr="009A7CD7">
        <w:rPr>
          <w:bCs/>
          <w:i/>
          <w:iCs/>
        </w:rPr>
        <w:t>’</w:t>
      </w:r>
      <w:r w:rsidRPr="009A7CD7">
        <w:rPr>
          <w:bCs/>
          <w:i/>
          <w:iCs/>
        </w:rPr>
        <w:t>anno finanziario 2022 e bilancio pluriennale per il triennio 2022-2024</w:t>
      </w:r>
      <w:r w:rsidRPr="009A7CD7">
        <w:rPr>
          <w:bCs/>
        </w:rPr>
        <w:t>;</w:t>
      </w:r>
    </w:p>
    <w:p w14:paraId="7660AB28" w14:textId="105E5851" w:rsidR="003E620E" w:rsidRPr="009A7CD7" w:rsidRDefault="003E620E" w:rsidP="001B4D50">
      <w:pPr>
        <w:adjustRightInd w:val="0"/>
        <w:spacing w:after="120"/>
        <w:jc w:val="both"/>
        <w:rPr>
          <w:rFonts w:eastAsiaTheme="minorHAnsi"/>
          <w:bCs/>
          <w:lang w:eastAsia="en-US"/>
        </w:rPr>
      </w:pPr>
      <w:r w:rsidRPr="009A7CD7">
        <w:rPr>
          <w:rFonts w:eastAsiaTheme="minorHAnsi"/>
          <w:b/>
          <w:lang w:eastAsia="en-US"/>
        </w:rPr>
        <w:t>VISTO</w:t>
      </w:r>
      <w:r w:rsidR="00D714E5" w:rsidRPr="009A7CD7">
        <w:rPr>
          <w:rFonts w:eastAsiaTheme="minorHAnsi"/>
          <w:bCs/>
          <w:lang w:eastAsia="en-US"/>
        </w:rPr>
        <w:t xml:space="preserve"> </w:t>
      </w:r>
      <w:r w:rsidR="00D959BB" w:rsidRPr="009A7CD7">
        <w:rPr>
          <w:rFonts w:eastAsiaTheme="minorHAnsi"/>
          <w:bCs/>
          <w:lang w:eastAsia="en-US"/>
        </w:rPr>
        <w:t xml:space="preserve">in particolare, </w:t>
      </w:r>
      <w:r w:rsidRPr="009A7CD7">
        <w:rPr>
          <w:rFonts w:eastAsiaTheme="minorHAnsi"/>
          <w:bCs/>
          <w:lang w:eastAsia="en-US"/>
        </w:rPr>
        <w:t>l’articolo 1, comma 592, della medesima legge</w:t>
      </w:r>
      <w:r w:rsidR="001957F2" w:rsidRPr="009A7CD7">
        <w:rPr>
          <w:rFonts w:eastAsiaTheme="minorHAnsi"/>
          <w:bCs/>
          <w:lang w:eastAsia="en-US"/>
        </w:rPr>
        <w:t>,</w:t>
      </w:r>
      <w:r w:rsidRPr="009A7CD7">
        <w:rPr>
          <w:rFonts w:eastAsiaTheme="minorHAnsi"/>
          <w:bCs/>
          <w:lang w:eastAsia="en-US"/>
        </w:rPr>
        <w:t xml:space="preserve"> ove si prevede </w:t>
      </w:r>
      <w:r w:rsidR="009342BB" w:rsidRPr="009A7CD7">
        <w:rPr>
          <w:rFonts w:eastAsiaTheme="minorHAnsi"/>
          <w:bCs/>
          <w:lang w:eastAsia="en-US"/>
        </w:rPr>
        <w:t>“</w:t>
      </w:r>
      <w:r w:rsidR="00C536C5" w:rsidRPr="009A7CD7">
        <w:rPr>
          <w:rFonts w:eastAsiaTheme="minorHAnsi"/>
          <w:bCs/>
          <w:lang w:eastAsia="en-US"/>
        </w:rPr>
        <w:t>A</w:t>
      </w:r>
      <w:r w:rsidR="009342BB" w:rsidRPr="009A7CD7">
        <w:rPr>
          <w:rFonts w:eastAsiaTheme="minorHAnsi"/>
          <w:bCs/>
          <w:lang w:eastAsia="en-US"/>
        </w:rPr>
        <w:t xml:space="preserve"> decorrere dall'anno 2022, al fine di garantire l'unitarietà dell'azione di governo, nelle funzioni di competenza degli enti territoriali correlate con i livelli essenziali delle prestazioni, nonché con i relativi fabbisogni, costi standard e obiettivi di servizio, i Ministri competenti per materia sono tenuti, in ordine alle modalità di riparto delle risorse finanziarie necessarie e di monitoraggio sul raggiungimento degli </w:t>
      </w:r>
      <w:r w:rsidR="009342BB" w:rsidRPr="009A7CD7">
        <w:rPr>
          <w:rFonts w:eastAsiaTheme="minorHAnsi"/>
          <w:bCs/>
          <w:lang w:eastAsia="en-US"/>
        </w:rPr>
        <w:lastRenderedPageBreak/>
        <w:t>obiettivi, ad acquisire il preventivo parere della Commissione tecnica per i fabbisogni standard, di cui all'</w:t>
      </w:r>
      <w:r w:rsidR="00A11D21" w:rsidRPr="009A7CD7">
        <w:rPr>
          <w:rFonts w:eastAsiaTheme="minorHAnsi"/>
          <w:bCs/>
          <w:lang w:eastAsia="en-US"/>
        </w:rPr>
        <w:t>articolo 1, comma 29, della legge 28 dicembre 2015, n. 208</w:t>
      </w:r>
      <w:r w:rsidR="009342BB" w:rsidRPr="009A7CD7">
        <w:rPr>
          <w:rFonts w:eastAsiaTheme="minorHAnsi"/>
          <w:bCs/>
          <w:lang w:eastAsia="en-US"/>
        </w:rPr>
        <w:t>, allo scopo integrata dai rappresentanti delle stesse Amministrazioni, in relazione alle specifiche funzioni;</w:t>
      </w:r>
    </w:p>
    <w:p w14:paraId="1054EB18" w14:textId="4C5EADDA" w:rsidR="003B0315" w:rsidRPr="009A7CD7" w:rsidRDefault="003B0315" w:rsidP="001B4D50">
      <w:pPr>
        <w:spacing w:after="120"/>
        <w:jc w:val="both"/>
      </w:pPr>
      <w:r w:rsidRPr="009A7CD7">
        <w:rPr>
          <w:b/>
          <w:bCs/>
        </w:rPr>
        <w:t>VIST</w:t>
      </w:r>
      <w:r w:rsidR="00E8452A" w:rsidRPr="009A7CD7">
        <w:rPr>
          <w:b/>
          <w:bCs/>
        </w:rPr>
        <w:t>I</w:t>
      </w:r>
      <w:r w:rsidR="00E8452A" w:rsidRPr="009A7CD7">
        <w:t>, altresì, i commi da 159 a 171 dell’</w:t>
      </w:r>
      <w:r w:rsidR="006A3813" w:rsidRPr="009A7CD7">
        <w:t>articolo 1</w:t>
      </w:r>
      <w:r w:rsidR="00E8452A" w:rsidRPr="009A7CD7">
        <w:t xml:space="preserve"> </w:t>
      </w:r>
      <w:r w:rsidRPr="009A7CD7">
        <w:t xml:space="preserve">della </w:t>
      </w:r>
      <w:r w:rsidR="00D038FA" w:rsidRPr="009A7CD7">
        <w:t>medesima legge</w:t>
      </w:r>
      <w:r w:rsidR="00E8452A" w:rsidRPr="009A7CD7">
        <w:t xml:space="preserve"> n. 234 del 2021, </w:t>
      </w:r>
      <w:r w:rsidR="005F6AF5" w:rsidRPr="009A7CD7">
        <w:t xml:space="preserve">concernenti </w:t>
      </w:r>
      <w:r w:rsidRPr="009A7CD7">
        <w:t xml:space="preserve">i Livelli </w:t>
      </w:r>
      <w:r w:rsidR="00696D96" w:rsidRPr="009A7CD7">
        <w:t>e</w:t>
      </w:r>
      <w:r w:rsidRPr="009A7CD7">
        <w:t xml:space="preserve">ssenziali delle </w:t>
      </w:r>
      <w:r w:rsidR="00696D96" w:rsidRPr="009A7CD7">
        <w:t>p</w:t>
      </w:r>
      <w:r w:rsidRPr="009A7CD7">
        <w:t xml:space="preserve">restazioni </w:t>
      </w:r>
      <w:r w:rsidR="00696D96" w:rsidRPr="009A7CD7">
        <w:t>s</w:t>
      </w:r>
      <w:r w:rsidRPr="009A7CD7">
        <w:t>ociali</w:t>
      </w:r>
      <w:r w:rsidR="00F92754" w:rsidRPr="009A7CD7">
        <w:t xml:space="preserve"> (</w:t>
      </w:r>
      <w:r w:rsidRPr="009A7CD7">
        <w:t>LEPS</w:t>
      </w:r>
      <w:r w:rsidR="00F92754" w:rsidRPr="009A7CD7">
        <w:t>)</w:t>
      </w:r>
      <w:r w:rsidR="005855BD" w:rsidRPr="009A7CD7">
        <w:t>,</w:t>
      </w:r>
      <w:r w:rsidRPr="009A7CD7">
        <w:t xml:space="preserve"> </w:t>
      </w:r>
      <w:r w:rsidR="005F6AF5" w:rsidRPr="009A7CD7">
        <w:t>e</w:t>
      </w:r>
      <w:r w:rsidR="005855BD" w:rsidRPr="009A7CD7">
        <w:t>,</w:t>
      </w:r>
      <w:r w:rsidR="005F6AF5" w:rsidRPr="009A7CD7">
        <w:t xml:space="preserve"> in</w:t>
      </w:r>
      <w:r w:rsidRPr="009A7CD7">
        <w:t xml:space="preserve"> particolare</w:t>
      </w:r>
      <w:r w:rsidR="005F6AF5" w:rsidRPr="009A7CD7">
        <w:t>,</w:t>
      </w:r>
      <w:r w:rsidR="00F92754" w:rsidRPr="009A7CD7">
        <w:t xml:space="preserve"> </w:t>
      </w:r>
      <w:r w:rsidR="005F6AF5" w:rsidRPr="009A7CD7">
        <w:t>i</w:t>
      </w:r>
      <w:r w:rsidRPr="009A7CD7">
        <w:t>l comma 162</w:t>
      </w:r>
      <w:r w:rsidR="005C75E4" w:rsidRPr="009A7CD7">
        <w:t>,</w:t>
      </w:r>
      <w:r w:rsidRPr="009A7CD7">
        <w:t xml:space="preserve"> </w:t>
      </w:r>
      <w:r w:rsidR="005F6AF5" w:rsidRPr="009A7CD7">
        <w:t>secondo cui</w:t>
      </w:r>
      <w:r w:rsidRPr="009A7CD7">
        <w:t xml:space="preserve"> i servizi socio assistenziali nei confronti delle persone anziane non autosufficienti sono erogati delle aree individuate alle lett</w:t>
      </w:r>
      <w:r w:rsidR="005C75E4" w:rsidRPr="009A7CD7">
        <w:t xml:space="preserve">ere </w:t>
      </w:r>
      <w:r w:rsidRPr="009A7CD7">
        <w:rPr>
          <w:i/>
          <w:iCs/>
        </w:rPr>
        <w:t>a),</w:t>
      </w:r>
      <w:r w:rsidR="005C75E4" w:rsidRPr="009A7CD7">
        <w:rPr>
          <w:i/>
          <w:iCs/>
        </w:rPr>
        <w:t xml:space="preserve"> </w:t>
      </w:r>
      <w:r w:rsidRPr="009A7CD7">
        <w:rPr>
          <w:i/>
          <w:iCs/>
        </w:rPr>
        <w:t>b)</w:t>
      </w:r>
      <w:r w:rsidR="005C75E4" w:rsidRPr="009A7CD7">
        <w:rPr>
          <w:i/>
          <w:iCs/>
        </w:rPr>
        <w:t xml:space="preserve"> </w:t>
      </w:r>
      <w:r w:rsidR="005C75E4" w:rsidRPr="009A7CD7">
        <w:t>e</w:t>
      </w:r>
      <w:r w:rsidR="005C75E4" w:rsidRPr="009A7CD7">
        <w:rPr>
          <w:i/>
          <w:iCs/>
        </w:rPr>
        <w:t xml:space="preserve"> </w:t>
      </w:r>
      <w:r w:rsidRPr="009A7CD7">
        <w:rPr>
          <w:i/>
          <w:iCs/>
        </w:rPr>
        <w:t>c)</w:t>
      </w:r>
      <w:r w:rsidR="005F6AF5" w:rsidRPr="009A7CD7">
        <w:t xml:space="preserve"> del comma medesimo, e il comma 167</w:t>
      </w:r>
      <w:r w:rsidR="005855BD" w:rsidRPr="009A7CD7">
        <w:t>,</w:t>
      </w:r>
      <w:r w:rsidR="005F6AF5" w:rsidRPr="009A7CD7">
        <w:t xml:space="preserve"> </w:t>
      </w:r>
      <w:r w:rsidR="005855BD" w:rsidRPr="009A7CD7">
        <w:t>ai sensi del quale, ai fini della graduale introduzione dei LEPS, con</w:t>
      </w:r>
      <w:r w:rsidR="005F6AF5" w:rsidRPr="009A7CD7">
        <w:t xml:space="preserve"> uno </w:t>
      </w:r>
      <w:r w:rsidR="005855BD" w:rsidRPr="009A7CD7">
        <w:t>o più decreti del Presidente del Consiglio dei ministri, su proposta del Ministro del lavoro e delle politiche sociali, di concerto con il Ministro della salute e con il Ministro dell</w:t>
      </w:r>
      <w:r w:rsidR="00696D96" w:rsidRPr="009A7CD7">
        <w:t>’</w:t>
      </w:r>
      <w:r w:rsidR="005855BD" w:rsidRPr="009A7CD7">
        <w:t xml:space="preserve">economia e </w:t>
      </w:r>
      <w:r w:rsidR="00696D96" w:rsidRPr="009A7CD7">
        <w:t xml:space="preserve">delle </w:t>
      </w:r>
      <w:r w:rsidR="005855BD" w:rsidRPr="009A7CD7">
        <w:t xml:space="preserve">finanze, previa intesa in sede di Conferenza unificata, </w:t>
      </w:r>
      <w:r w:rsidRPr="009A7CD7">
        <w:t>sono determinate</w:t>
      </w:r>
      <w:r w:rsidR="005855BD" w:rsidRPr="009A7CD7">
        <w:t xml:space="preserve"> </w:t>
      </w:r>
      <w:r w:rsidRPr="009A7CD7">
        <w:t>le modalità attuative, le azioni di monitoraggio e le modalità di verifica del raggiungimento dei LEPS per le persone anziane non autosufficienti nell</w:t>
      </w:r>
      <w:r w:rsidR="00EE55D3" w:rsidRPr="009A7CD7">
        <w:t>’</w:t>
      </w:r>
      <w:r w:rsidRPr="009A7CD7">
        <w:t xml:space="preserve">ambito degli </w:t>
      </w:r>
      <w:r w:rsidR="00CA063A" w:rsidRPr="009A7CD7">
        <w:t>s</w:t>
      </w:r>
      <w:r w:rsidRPr="009A7CD7">
        <w:t>tanziamenti vigenti, inclusi quelli di cui al comma 168</w:t>
      </w:r>
      <w:r w:rsidR="009342BB" w:rsidRPr="009A7CD7">
        <w:t>;</w:t>
      </w:r>
    </w:p>
    <w:p w14:paraId="2DA85CDD" w14:textId="01806583" w:rsidR="003D4390" w:rsidRPr="009A7CD7" w:rsidRDefault="003D4390" w:rsidP="001B4D50">
      <w:pPr>
        <w:spacing w:after="120"/>
        <w:jc w:val="both"/>
      </w:pPr>
      <w:r w:rsidRPr="009A7CD7">
        <w:rPr>
          <w:b/>
          <w:bCs/>
        </w:rPr>
        <w:t>VISTO</w:t>
      </w:r>
      <w:r w:rsidR="0022569F" w:rsidRPr="009A7CD7">
        <w:t xml:space="preserve"> </w:t>
      </w:r>
      <w:r w:rsidRPr="009A7CD7">
        <w:t xml:space="preserve">in particolare </w:t>
      </w:r>
      <w:r w:rsidR="006A3813" w:rsidRPr="009A7CD7">
        <w:t>l’articolo 1,</w:t>
      </w:r>
      <w:r w:rsidRPr="009A7CD7">
        <w:t xml:space="preserve"> comma 168</w:t>
      </w:r>
      <w:r w:rsidR="00EE55D3" w:rsidRPr="009A7CD7">
        <w:t>,</w:t>
      </w:r>
      <w:r w:rsidRPr="009A7CD7">
        <w:t xml:space="preserve"> della </w:t>
      </w:r>
      <w:r w:rsidR="006A3813" w:rsidRPr="009A7CD7">
        <w:t>medesima legge</w:t>
      </w:r>
      <w:r w:rsidRPr="009A7CD7">
        <w:t xml:space="preserve">, ove è previsto che </w:t>
      </w:r>
      <w:r w:rsidR="0022569F" w:rsidRPr="009A7CD7">
        <w:rPr>
          <w:i/>
          <w:iCs/>
        </w:rPr>
        <w:t xml:space="preserve">per le finalità di cui al comma 162, lettere a), b) </w:t>
      </w:r>
      <w:r w:rsidR="0022569F" w:rsidRPr="009A7CD7">
        <w:t>e</w:t>
      </w:r>
      <w:r w:rsidR="0022569F" w:rsidRPr="009A7CD7">
        <w:rPr>
          <w:i/>
          <w:iCs/>
        </w:rPr>
        <w:t xml:space="preserve"> c), e al comma 163, fermi restando gli interventi a valere sullo stesso Fondo per le non autosufficienze già destinati al sostegno delle persone in condizioni di disabilità gravissima previsti dalla normativa vigente e dettagliati dal Piano per la non autosufficienza di cui all'articolo 21, comma 6, lettera c), del decreto legislativo 15 settembre 2017, n. 147, il Fondo per le non autosufficienze è integrato per un ammontare pari a euro 100 milioni per l</w:t>
      </w:r>
      <w:r w:rsidR="00D627BF" w:rsidRPr="009A7CD7">
        <w:rPr>
          <w:i/>
          <w:iCs/>
        </w:rPr>
        <w:t>’</w:t>
      </w:r>
      <w:r w:rsidR="0022569F" w:rsidRPr="009A7CD7">
        <w:rPr>
          <w:i/>
          <w:iCs/>
        </w:rPr>
        <w:t>anno 2022, a euro 200 milioni per l</w:t>
      </w:r>
      <w:r w:rsidR="00D627BF" w:rsidRPr="009A7CD7">
        <w:rPr>
          <w:i/>
          <w:iCs/>
        </w:rPr>
        <w:t>’</w:t>
      </w:r>
      <w:r w:rsidR="0022569F" w:rsidRPr="009A7CD7">
        <w:rPr>
          <w:i/>
          <w:iCs/>
        </w:rPr>
        <w:t>anno 2023, a euro 250 milioni per l</w:t>
      </w:r>
      <w:r w:rsidR="00D627BF" w:rsidRPr="009A7CD7">
        <w:rPr>
          <w:i/>
          <w:iCs/>
        </w:rPr>
        <w:t>’</w:t>
      </w:r>
      <w:r w:rsidR="0022569F" w:rsidRPr="009A7CD7">
        <w:rPr>
          <w:i/>
          <w:iCs/>
        </w:rPr>
        <w:t>anno 2024 e a euro 300 milioni a decorrere dall</w:t>
      </w:r>
      <w:r w:rsidR="00D627BF" w:rsidRPr="009A7CD7">
        <w:rPr>
          <w:i/>
          <w:iCs/>
        </w:rPr>
        <w:t>’</w:t>
      </w:r>
      <w:r w:rsidR="0022569F" w:rsidRPr="009A7CD7">
        <w:rPr>
          <w:i/>
          <w:iCs/>
        </w:rPr>
        <w:t>anno 2025</w:t>
      </w:r>
      <w:r w:rsidR="00705E3B" w:rsidRPr="009A7CD7">
        <w:t>.;</w:t>
      </w:r>
    </w:p>
    <w:p w14:paraId="1A8EFFDC" w14:textId="79E5DADA" w:rsidR="00645E2A" w:rsidRPr="009A7CD7" w:rsidRDefault="00645E2A" w:rsidP="001B4D50">
      <w:pPr>
        <w:spacing w:after="120"/>
        <w:jc w:val="both"/>
      </w:pPr>
      <w:r w:rsidRPr="009A7CD7">
        <w:rPr>
          <w:b/>
          <w:bCs/>
        </w:rPr>
        <w:t>VISTO</w:t>
      </w:r>
      <w:r w:rsidR="008D6EA7" w:rsidRPr="009A7CD7">
        <w:rPr>
          <w:b/>
          <w:bCs/>
        </w:rPr>
        <w:t xml:space="preserve"> </w:t>
      </w:r>
      <w:r w:rsidRPr="009A7CD7">
        <w:rPr>
          <w:bCs/>
        </w:rPr>
        <w:t>l’atto di indirizzo e coordinamento in materia di prestazioni sociosanitarie, approvato con decreto del Presidente del Consiglio dei ministri del 14 febbraio 2001;</w:t>
      </w:r>
    </w:p>
    <w:p w14:paraId="58E0AC9F" w14:textId="363DA7FB" w:rsidR="00BB0AAF" w:rsidRPr="009A7CD7" w:rsidRDefault="00BB0AAF" w:rsidP="001B4D50">
      <w:pPr>
        <w:spacing w:after="120"/>
        <w:jc w:val="both"/>
      </w:pPr>
      <w:r w:rsidRPr="009A7CD7">
        <w:rPr>
          <w:b/>
          <w:bCs/>
        </w:rPr>
        <w:t>VISTO</w:t>
      </w:r>
      <w:r w:rsidR="008D6EA7" w:rsidRPr="009A7CD7">
        <w:rPr>
          <w:b/>
          <w:bCs/>
        </w:rPr>
        <w:t xml:space="preserve"> </w:t>
      </w:r>
      <w:r w:rsidRPr="009A7CD7">
        <w:t xml:space="preserve">il </w:t>
      </w:r>
      <w:r w:rsidRPr="009A7CD7">
        <w:rPr>
          <w:bCs/>
        </w:rPr>
        <w:t>decreto del Ministro del lavoro e delle politiche sociali</w:t>
      </w:r>
      <w:r w:rsidRPr="009A7CD7">
        <w:t xml:space="preserve"> 22 agosto 2019, che istituisce</w:t>
      </w:r>
      <w:r w:rsidR="00981E28" w:rsidRPr="009A7CD7">
        <w:rPr>
          <w:bCs/>
        </w:rPr>
        <w:t xml:space="preserve"> presso il Ministero del lavoro e delle politiche sociali </w:t>
      </w:r>
      <w:r w:rsidRPr="009A7CD7">
        <w:rPr>
          <w:bCs/>
        </w:rPr>
        <w:t>il Sistema informativo dell’offerta dei servizi sociali, di cui all’articolo 24, comma 3, lettera b), del decreto legislativo n. 147</w:t>
      </w:r>
      <w:r w:rsidR="005855BD" w:rsidRPr="009A7CD7">
        <w:rPr>
          <w:bCs/>
        </w:rPr>
        <w:t xml:space="preserve"> del 2017</w:t>
      </w:r>
      <w:r w:rsidRPr="009A7CD7">
        <w:t>;</w:t>
      </w:r>
    </w:p>
    <w:p w14:paraId="10951C07" w14:textId="1068EADA" w:rsidR="00BD6760" w:rsidRPr="009A7CD7" w:rsidRDefault="00BD6760" w:rsidP="001B4D50">
      <w:pPr>
        <w:spacing w:after="120"/>
        <w:jc w:val="both"/>
      </w:pPr>
      <w:r w:rsidRPr="009A7CD7">
        <w:rPr>
          <w:b/>
          <w:bCs/>
        </w:rPr>
        <w:t>VISTO</w:t>
      </w:r>
      <w:r w:rsidRPr="009A7CD7">
        <w:t xml:space="preserve"> il decreto del Presidente del Consiglio dei ministri 21 novembre 2019, concernente l’adozione del Piano nazionale per la non autosufficienza e il riparto del Fondo per le non autosufficienze del triennio 2019-2021, ed in particolare l’allegato F, recante </w:t>
      </w:r>
      <w:r w:rsidRPr="009A7CD7">
        <w:rPr>
          <w:i/>
          <w:iCs/>
        </w:rPr>
        <w:t>Linee di indirizzo per progetti di vita indipendente</w:t>
      </w:r>
      <w:r w:rsidRPr="009A7CD7">
        <w:t>;</w:t>
      </w:r>
    </w:p>
    <w:p w14:paraId="5C66F1DD" w14:textId="48B82F16" w:rsidR="00C9107C" w:rsidRPr="009A7CD7" w:rsidRDefault="0057148F" w:rsidP="001B4D50">
      <w:pPr>
        <w:spacing w:after="120"/>
        <w:jc w:val="both"/>
      </w:pPr>
      <w:r w:rsidRPr="009A7CD7">
        <w:rPr>
          <w:b/>
          <w:bCs/>
        </w:rPr>
        <w:lastRenderedPageBreak/>
        <w:t xml:space="preserve">VISTA </w:t>
      </w:r>
      <w:r w:rsidRPr="009A7CD7">
        <w:t xml:space="preserve">la legge 22 dicembre 2021, n. 227, recante </w:t>
      </w:r>
      <w:r w:rsidRPr="009A7CD7">
        <w:rPr>
          <w:i/>
          <w:iCs/>
        </w:rPr>
        <w:t>Delega al Governo in materia di disabilità</w:t>
      </w:r>
      <w:r w:rsidRPr="009A7CD7">
        <w:t>;</w:t>
      </w:r>
    </w:p>
    <w:p w14:paraId="17FD932C" w14:textId="646DEF4E" w:rsidR="00EE47A7" w:rsidRPr="009A7CD7" w:rsidRDefault="00EE47A7" w:rsidP="001B4D50">
      <w:pPr>
        <w:spacing w:after="120"/>
        <w:jc w:val="both"/>
        <w:rPr>
          <w:rFonts w:eastAsiaTheme="minorHAnsi"/>
          <w:shd w:val="clear" w:color="auto" w:fill="FFFFFF"/>
          <w:lang w:eastAsia="en-US"/>
        </w:rPr>
      </w:pPr>
      <w:r w:rsidRPr="009A7CD7">
        <w:rPr>
          <w:b/>
          <w:bCs/>
        </w:rPr>
        <w:t xml:space="preserve">VISTO </w:t>
      </w:r>
      <w:r w:rsidRPr="009A7CD7">
        <w:t xml:space="preserve">il decreto del Ministro della salute, di concerto con il ministro dell’economia e delle finanze, 23 maggio 2022, n. 77, concernente il </w:t>
      </w:r>
      <w:r w:rsidRPr="009A7CD7">
        <w:rPr>
          <w:rFonts w:eastAsiaTheme="minorHAnsi"/>
          <w:i/>
          <w:iCs/>
          <w:shd w:val="clear" w:color="auto" w:fill="FFFFFF"/>
          <w:lang w:eastAsia="en-US"/>
        </w:rPr>
        <w:t>Regolamento recante la definizione di modelli standard per lo sviluppo dell'assistenza territoriale nel Servizio sanitario nazionale</w:t>
      </w:r>
      <w:r w:rsidR="00F61970" w:rsidRPr="009A7CD7">
        <w:rPr>
          <w:rFonts w:eastAsiaTheme="minorHAnsi"/>
          <w:shd w:val="clear" w:color="auto" w:fill="FFFFFF"/>
          <w:lang w:eastAsia="en-US"/>
        </w:rPr>
        <w:t>;</w:t>
      </w:r>
    </w:p>
    <w:p w14:paraId="004AED42" w14:textId="7CD7B1B7" w:rsidR="00687B10" w:rsidRPr="009A7CD7" w:rsidRDefault="00687B10" w:rsidP="001B4D50">
      <w:pPr>
        <w:spacing w:after="120"/>
        <w:jc w:val="both"/>
        <w:rPr>
          <w:rFonts w:eastAsiaTheme="minorHAnsi"/>
          <w:shd w:val="clear" w:color="auto" w:fill="FFFFFF"/>
          <w:lang w:eastAsia="en-US"/>
        </w:rPr>
      </w:pPr>
      <w:r w:rsidRPr="009A7CD7">
        <w:rPr>
          <w:rFonts w:eastAsiaTheme="minorHAnsi"/>
          <w:b/>
          <w:bCs/>
          <w:shd w:val="clear" w:color="auto" w:fill="FFFFFF"/>
          <w:lang w:eastAsia="en-US"/>
        </w:rPr>
        <w:t xml:space="preserve">VISTO </w:t>
      </w:r>
      <w:r w:rsidRPr="009A7CD7">
        <w:rPr>
          <w:rFonts w:eastAsiaTheme="minorHAnsi"/>
          <w:shd w:val="clear" w:color="auto" w:fill="FFFFFF"/>
          <w:lang w:eastAsia="en-US"/>
        </w:rPr>
        <w:t>il decreto del Presidente del Consiglio dei ministri del 23 ottobre 2022, con il quale, è stato conferito alla dott.ssa Alessandra Locatelli l’incarico di Ministro senza portafoglio per le disabilità e sono state delegate le relative funzioni in materia;</w:t>
      </w:r>
    </w:p>
    <w:p w14:paraId="6CC1CA83" w14:textId="7F8B8380" w:rsidR="008A6BC2" w:rsidRPr="009A7CD7" w:rsidRDefault="008A6BC2" w:rsidP="001B4D50">
      <w:pPr>
        <w:spacing w:after="120"/>
        <w:jc w:val="both"/>
      </w:pPr>
      <w:r w:rsidRPr="009A7CD7">
        <w:rPr>
          <w:b/>
        </w:rPr>
        <w:t>VISTO</w:t>
      </w:r>
      <w:r w:rsidR="008D6EA7" w:rsidRPr="009A7CD7">
        <w:rPr>
          <w:b/>
        </w:rPr>
        <w:t xml:space="preserve"> </w:t>
      </w:r>
      <w:r w:rsidRPr="009A7CD7">
        <w:t>il decreto del Presidente del Consiglio dei ministri 3 ottobre 2022, con il quale è stato adottato il Piano nazionale per la non autosufficienza e ripartito il Fondo per le non autosufficienze per il triennio 2022-2024;</w:t>
      </w:r>
    </w:p>
    <w:p w14:paraId="6D479920" w14:textId="70F516B2" w:rsidR="00AA780E" w:rsidRPr="009A7CD7" w:rsidRDefault="00AA780E" w:rsidP="001B4D50">
      <w:pPr>
        <w:tabs>
          <w:tab w:val="left" w:pos="851"/>
        </w:tabs>
        <w:spacing w:after="120"/>
        <w:jc w:val="both"/>
      </w:pPr>
      <w:r w:rsidRPr="009A7CD7">
        <w:rPr>
          <w:b/>
          <w:bCs/>
        </w:rPr>
        <w:t xml:space="preserve">VISTA </w:t>
      </w:r>
      <w:r w:rsidR="004F2589" w:rsidRPr="009A7CD7">
        <w:t>la</w:t>
      </w:r>
      <w:r w:rsidR="004F2589" w:rsidRPr="009A7CD7">
        <w:rPr>
          <w:b/>
          <w:bCs/>
        </w:rPr>
        <w:t xml:space="preserve"> </w:t>
      </w:r>
      <w:r w:rsidRPr="009A7CD7">
        <w:t>legge 23 marzo 2023, n. 33</w:t>
      </w:r>
      <w:r w:rsidR="008D6EA7" w:rsidRPr="009A7CD7">
        <w:t>,</w:t>
      </w:r>
      <w:r w:rsidRPr="009A7CD7">
        <w:t xml:space="preserve"> recante </w:t>
      </w:r>
      <w:r w:rsidRPr="009A7CD7">
        <w:rPr>
          <w:i/>
          <w:iCs/>
        </w:rPr>
        <w:t>Deleghe al Governo in materia di politiche in favore delle persone anziane</w:t>
      </w:r>
      <w:r w:rsidR="004F2589" w:rsidRPr="009A7CD7">
        <w:t>;</w:t>
      </w:r>
    </w:p>
    <w:p w14:paraId="6D91BDD2" w14:textId="1C06DAE2" w:rsidR="00F44692" w:rsidRPr="009A7CD7" w:rsidRDefault="001F0F0B" w:rsidP="001B4D50">
      <w:pPr>
        <w:tabs>
          <w:tab w:val="left" w:pos="851"/>
        </w:tabs>
        <w:spacing w:after="120"/>
        <w:jc w:val="both"/>
      </w:pPr>
      <w:r w:rsidRPr="009A7CD7">
        <w:rPr>
          <w:b/>
          <w:bCs/>
        </w:rPr>
        <w:t>VISTO</w:t>
      </w:r>
      <w:r w:rsidRPr="009A7CD7">
        <w:t xml:space="preserve"> </w:t>
      </w:r>
      <w:r w:rsidR="005B1A3E" w:rsidRPr="009A7CD7">
        <w:t>il comma 3 del</w:t>
      </w:r>
      <w:r w:rsidRPr="009A7CD7">
        <w:t xml:space="preserve">l’articolo </w:t>
      </w:r>
      <w:r w:rsidR="00F81A3A" w:rsidRPr="009A7CD7">
        <w:t>2 della citata legge</w:t>
      </w:r>
      <w:r w:rsidR="00D627BF" w:rsidRPr="009A7CD7">
        <w:t xml:space="preserve"> n. 33 del 2023</w:t>
      </w:r>
      <w:r w:rsidR="00F81A3A" w:rsidRPr="009A7CD7">
        <w:t xml:space="preserve">, </w:t>
      </w:r>
      <w:r w:rsidR="005A00ED" w:rsidRPr="009A7CD7">
        <w:t>con il quale</w:t>
      </w:r>
      <w:r w:rsidR="005B1A3E" w:rsidRPr="009A7CD7">
        <w:t xml:space="preserve"> si prevede l’istituzione, presso la Presidenza del Consiglio dei ministri, </w:t>
      </w:r>
      <w:r w:rsidR="00674C8C" w:rsidRPr="009A7CD7">
        <w:t xml:space="preserve">del </w:t>
      </w:r>
      <w:r w:rsidR="005B1A3E" w:rsidRPr="009A7CD7">
        <w:t>Comitato interministeriale per le politiche in favore della popolazione anziana (CIPA), con il compito di promuovere il coordinamento e la programmazione integrata delle politiche nazionali in favore delle persone anziane, con particolare riguardo alle politiche per la presa in carico delle fragilità e della non autosufficienza</w:t>
      </w:r>
      <w:r w:rsidR="00F44692" w:rsidRPr="009A7CD7">
        <w:t>;</w:t>
      </w:r>
    </w:p>
    <w:p w14:paraId="61021307" w14:textId="2CC7B70E" w:rsidR="001F0F0B" w:rsidRPr="009A7CD7" w:rsidRDefault="00F44692" w:rsidP="001B4D50">
      <w:pPr>
        <w:tabs>
          <w:tab w:val="left" w:pos="851"/>
        </w:tabs>
        <w:spacing w:after="120"/>
        <w:jc w:val="both"/>
      </w:pPr>
      <w:r w:rsidRPr="009A7CD7">
        <w:rPr>
          <w:b/>
          <w:bCs/>
        </w:rPr>
        <w:t>VISTA</w:t>
      </w:r>
      <w:r w:rsidRPr="009A7CD7">
        <w:t xml:space="preserve"> </w:t>
      </w:r>
      <w:r w:rsidR="005B1A3E" w:rsidRPr="009A7CD7">
        <w:t xml:space="preserve">in particolare la lettera </w:t>
      </w:r>
      <w:r w:rsidR="005B1A3E" w:rsidRPr="009A7CD7">
        <w:rPr>
          <w:i/>
          <w:iCs/>
        </w:rPr>
        <w:t>a)</w:t>
      </w:r>
      <w:r w:rsidR="003D7FCF" w:rsidRPr="009A7CD7">
        <w:t xml:space="preserve"> del medesimo comma</w:t>
      </w:r>
      <w:r w:rsidR="00582A7C" w:rsidRPr="009A7CD7">
        <w:t xml:space="preserve"> 3</w:t>
      </w:r>
      <w:r w:rsidR="003D7FCF" w:rsidRPr="009A7CD7">
        <w:t>, ove è previsto che il CIPA adotta, con cadenza triennale e aggiornamento annuale, previa intesa in sede di Conferenza unificata di cui all</w:t>
      </w:r>
      <w:r w:rsidR="00376658" w:rsidRPr="009A7CD7">
        <w:t>’</w:t>
      </w:r>
      <w:r w:rsidR="003D7FCF" w:rsidRPr="009A7CD7">
        <w:t>articolo 8 del decreto legislativo 28 agosto 1997, n. 281, sentite le parti sociali e le associazioni di settore nonché le associazioni rappresentative delle persone in condizioni di disabilità, il «Piano nazionale per l</w:t>
      </w:r>
      <w:r w:rsidR="00376658" w:rsidRPr="009A7CD7">
        <w:t>’</w:t>
      </w:r>
      <w:r w:rsidR="003D7FCF" w:rsidRPr="009A7CD7">
        <w:t>invecchiamento attivo, l</w:t>
      </w:r>
      <w:r w:rsidR="00D627BF" w:rsidRPr="009A7CD7">
        <w:t>’</w:t>
      </w:r>
      <w:r w:rsidR="003D7FCF" w:rsidRPr="009A7CD7">
        <w:t>inclusione sociale e la prevenzione delle fragilità nella popolazione anziana» e il «Piano nazionale per l</w:t>
      </w:r>
      <w:r w:rsidR="00376658" w:rsidRPr="009A7CD7">
        <w:t>’</w:t>
      </w:r>
      <w:r w:rsidR="003D7FCF" w:rsidRPr="009A7CD7">
        <w:t>assistenza e la cura della fragilità e della non autosufficienza nella popolazione anziana», che sostituisce, per la parte inerente alla popolazione anziana, il Piano per la non autosufficienza;</w:t>
      </w:r>
    </w:p>
    <w:p w14:paraId="54CC6075" w14:textId="06305E80" w:rsidR="003B2627" w:rsidRPr="009A7CD7" w:rsidRDefault="004B2073" w:rsidP="001B4D50">
      <w:pPr>
        <w:tabs>
          <w:tab w:val="left" w:pos="851"/>
        </w:tabs>
        <w:spacing w:after="120"/>
        <w:jc w:val="both"/>
      </w:pPr>
      <w:r w:rsidRPr="009A7CD7">
        <w:rPr>
          <w:b/>
          <w:bCs/>
        </w:rPr>
        <w:t>VISTO</w:t>
      </w:r>
      <w:r w:rsidRPr="009A7CD7">
        <w:t xml:space="preserve"> il decreto del Presidente del Consiglio dei ministri 5 giugno 2023</w:t>
      </w:r>
      <w:r w:rsidR="00376658" w:rsidRPr="009A7CD7">
        <w:t>,</w:t>
      </w:r>
      <w:r w:rsidRPr="009A7CD7">
        <w:t xml:space="preserve"> che disciplina le modalità di funzionamento e l</w:t>
      </w:r>
      <w:r w:rsidR="00376658" w:rsidRPr="009A7CD7">
        <w:t>’</w:t>
      </w:r>
      <w:r w:rsidRPr="009A7CD7">
        <w:t>organizzazione delle attività del Comitato interministeriale per le politiche in favore della popolazione anziana (CIPA), istituito presso la Presidenza del Consiglio dei ministri</w:t>
      </w:r>
      <w:r w:rsidR="003B2627" w:rsidRPr="009A7CD7">
        <w:t>;</w:t>
      </w:r>
    </w:p>
    <w:p w14:paraId="21EFDD0F" w14:textId="0C53218D" w:rsidR="003B2627" w:rsidRPr="009A7CD7" w:rsidRDefault="003B2627" w:rsidP="001B4D50">
      <w:pPr>
        <w:tabs>
          <w:tab w:val="left" w:pos="851"/>
        </w:tabs>
        <w:spacing w:after="120"/>
        <w:jc w:val="both"/>
      </w:pPr>
      <w:r w:rsidRPr="009A7CD7">
        <w:rPr>
          <w:b/>
          <w:bCs/>
        </w:rPr>
        <w:lastRenderedPageBreak/>
        <w:t xml:space="preserve">VISTO </w:t>
      </w:r>
      <w:r w:rsidRPr="009A7CD7">
        <w:t xml:space="preserve">il decreto del Presidente del Consiglio dei ministri 22 novembre 2023, n. 230, recante </w:t>
      </w:r>
      <w:r w:rsidRPr="009A7CD7">
        <w:rPr>
          <w:i/>
          <w:iCs/>
        </w:rPr>
        <w:t>Regolamento di riorganizzazione del Ministero del lavoro e delle politiche sociali e degli Uffici di diretta collaborazione</w:t>
      </w:r>
      <w:r w:rsidRPr="009A7CD7">
        <w:t>;</w:t>
      </w:r>
    </w:p>
    <w:p w14:paraId="7ACC8636" w14:textId="0EE9BAB8" w:rsidR="00512BC5" w:rsidRPr="009A7CD7" w:rsidRDefault="00512BC5" w:rsidP="001B4D50">
      <w:pPr>
        <w:pStyle w:val="Rientrocorpodeltesto"/>
        <w:ind w:left="0"/>
        <w:jc w:val="both"/>
        <w:rPr>
          <w:bCs/>
        </w:rPr>
      </w:pPr>
      <w:r w:rsidRPr="009A7CD7">
        <w:rPr>
          <w:b/>
        </w:rPr>
        <w:t xml:space="preserve">VISTA </w:t>
      </w:r>
      <w:r w:rsidRPr="009A7CD7">
        <w:rPr>
          <w:bCs/>
        </w:rPr>
        <w:t>la legge 30 dicembre 2023, n. 213, recante Bilancio di previsione dello Stato per l</w:t>
      </w:r>
      <w:r w:rsidR="00594581" w:rsidRPr="009A7CD7">
        <w:rPr>
          <w:bCs/>
        </w:rPr>
        <w:t>’</w:t>
      </w:r>
      <w:r w:rsidRPr="009A7CD7">
        <w:rPr>
          <w:bCs/>
        </w:rPr>
        <w:t>anno finanziario 2024 e bilancio pluriennale per il triennio 2024-2026 ed, in particolare, l’articolo 1, comma 199, il quale stabilisce che, nei casi in cui, dall’esito del monitoraggio sulla rendicontazione effettuato dalle regioni circa l’effettivo utilizzo delle stesse a livello di ambito territoriale sociale, risultino risorse assegnate e non spese da parte di questi ultimi,</w:t>
      </w:r>
      <w:r w:rsidR="008033F2" w:rsidRPr="009A7CD7">
        <w:rPr>
          <w:bCs/>
        </w:rPr>
        <w:t xml:space="preserve"> </w:t>
      </w:r>
      <w:r w:rsidRPr="009A7CD7">
        <w:rPr>
          <w:bCs/>
        </w:rPr>
        <w:t>queste verranno restituite e versate dalle regioni all’entrata del bilancio dello Stato, secondo le modalità di cui all’articolo 46, comma 5, della legge 27 dicembre 2002, n. 289, per la successiva assegnazione rispettivamente, al Fondo di cui all’articolo 1, comma 1264, della legge 27 dicembre 2006, n. 296, anche con riguardo agli interventi di cui alla legge 21 maggio 1998, n. 162, nonché al Fondo di cui all'articolo 3 della legge 22 giugno 2016, n. 112;</w:t>
      </w:r>
    </w:p>
    <w:p w14:paraId="6791DDB3" w14:textId="77777777" w:rsidR="008033F2" w:rsidRDefault="008033F2" w:rsidP="008033F2">
      <w:pPr>
        <w:widowControl w:val="0"/>
        <w:autoSpaceDE w:val="0"/>
        <w:autoSpaceDN w:val="0"/>
        <w:spacing w:after="120"/>
        <w:ind w:right="3"/>
        <w:jc w:val="both"/>
        <w:rPr>
          <w:rFonts w:cstheme="minorHAnsi"/>
          <w:bCs/>
        </w:rPr>
      </w:pPr>
      <w:r w:rsidRPr="009A7CD7">
        <w:rPr>
          <w:rFonts w:cstheme="minorHAnsi"/>
          <w:b/>
        </w:rPr>
        <w:t>VISTA</w:t>
      </w:r>
      <w:r w:rsidRPr="009A7CD7">
        <w:rPr>
          <w:rFonts w:cstheme="minorHAnsi"/>
          <w:bCs/>
        </w:rPr>
        <w:t xml:space="preserve"> la legge 30 dicembre 2024, n. 207, recante “Bilancio di previsione dello Stato per l'anno finanziario 2025 e bilancio pluriennale per il triennio 2025-2027”;</w:t>
      </w:r>
    </w:p>
    <w:p w14:paraId="0CF8D032" w14:textId="763A3884" w:rsidR="00C536C5" w:rsidRPr="009A7CD7" w:rsidRDefault="00C536C5" w:rsidP="008033F2">
      <w:pPr>
        <w:widowControl w:val="0"/>
        <w:autoSpaceDE w:val="0"/>
        <w:autoSpaceDN w:val="0"/>
        <w:spacing w:after="120"/>
        <w:ind w:right="3"/>
        <w:jc w:val="both"/>
        <w:rPr>
          <w:rFonts w:cstheme="minorHAnsi"/>
          <w:bCs/>
        </w:rPr>
      </w:pPr>
      <w:r w:rsidRPr="009A7CD7">
        <w:rPr>
          <w:b/>
          <w:bCs/>
        </w:rPr>
        <w:t>VISTO</w:t>
      </w:r>
      <w:r w:rsidRPr="009A7CD7">
        <w:t xml:space="preserve"> </w:t>
      </w:r>
      <w:r w:rsidRPr="009A7CD7">
        <w:rPr>
          <w:bCs/>
        </w:rPr>
        <w:t>il decreto del Ministro dell’economia e delle finanze del 31 dicembre 2024, concernente la “Ripartizione in capitoli delle Unità di voto parlamentare relative al bilancio di previsione dello Stato per l’anno finanziario 2025 e per il triennio 2025 – 2027”, ed in particolare, la Tabella 4, riguardante il bilancio di previsione del Ministero del lavoro e delle politiche sociali che ha assegnato al capitolo di spesa 3538 “Fondo per le non autosufficienze”, una disponibilità per gli anni 2025-2027, pari a  euro: 919.755.000,00 per il 2025; 934.570.000,00 per il 2026; 1.108.470.000,00 per il 2027;</w:t>
      </w:r>
    </w:p>
    <w:p w14:paraId="61F2FACF" w14:textId="3FC6DEF8" w:rsidR="008033F2" w:rsidRPr="009A7CD7" w:rsidRDefault="008033F2" w:rsidP="008033F2">
      <w:pPr>
        <w:spacing w:after="120"/>
        <w:jc w:val="both"/>
        <w:rPr>
          <w:rFonts w:eastAsia="Calibri" w:cstheme="minorHAnsi"/>
        </w:rPr>
      </w:pPr>
      <w:r w:rsidRPr="009A7CD7">
        <w:rPr>
          <w:rFonts w:eastAsia="Calibri" w:cstheme="minorHAnsi"/>
          <w:b/>
          <w:bCs/>
        </w:rPr>
        <w:t xml:space="preserve">VISTO </w:t>
      </w:r>
      <w:r w:rsidRPr="009A7CD7">
        <w:rPr>
          <w:rFonts w:eastAsia="Calibri" w:cstheme="minorHAnsi"/>
        </w:rPr>
        <w:t>il decreto del Ministro del lavoro e delle politiche sociali 15 gennaio 2025, n. 3</w:t>
      </w:r>
      <w:r w:rsidR="00872FD7">
        <w:rPr>
          <w:rFonts w:eastAsia="Calibri" w:cstheme="minorHAnsi"/>
        </w:rPr>
        <w:t>,</w:t>
      </w:r>
      <w:r w:rsidRPr="009A7CD7">
        <w:rPr>
          <w:rFonts w:eastAsia="Calibri" w:cstheme="minorHAnsi"/>
        </w:rPr>
        <w:t xml:space="preserve"> di assegnazione delle risorse umane e finanziarie per l’esercizio finanziario 2025 ai Capi Dipartimento, registrato dall’Ufficio </w:t>
      </w:r>
      <w:r w:rsidR="00872FD7">
        <w:rPr>
          <w:rFonts w:eastAsia="Calibri" w:cstheme="minorHAnsi"/>
        </w:rPr>
        <w:t>c</w:t>
      </w:r>
      <w:r w:rsidRPr="009A7CD7">
        <w:rPr>
          <w:rFonts w:eastAsia="Calibri" w:cstheme="minorHAnsi"/>
        </w:rPr>
        <w:t xml:space="preserve">entrale di </w:t>
      </w:r>
      <w:r w:rsidR="00872FD7">
        <w:rPr>
          <w:rFonts w:eastAsia="Calibri" w:cstheme="minorHAnsi"/>
        </w:rPr>
        <w:t>b</w:t>
      </w:r>
      <w:r w:rsidRPr="009A7CD7">
        <w:rPr>
          <w:rFonts w:eastAsia="Calibri" w:cstheme="minorHAnsi"/>
        </w:rPr>
        <w:t>ilancio al n. 14 in data 16 gennaio 2025, ed in particolare l’articolo 4 che dispone che per l’esercizio finanziario 2025 sono assegnate al Capo Dipartimento per le politiche sociali, del terzo settore e migratorie le risorse finanziarie attribuite ai capitoli dei programmi di spesa 24.2, 24.12</w:t>
      </w:r>
      <w:r w:rsidR="00872FD7">
        <w:rPr>
          <w:rFonts w:eastAsia="Calibri" w:cstheme="minorHAnsi"/>
        </w:rPr>
        <w:t xml:space="preserve"> e</w:t>
      </w:r>
      <w:r w:rsidRPr="009A7CD7">
        <w:rPr>
          <w:rFonts w:eastAsia="Calibri" w:cstheme="minorHAnsi"/>
        </w:rPr>
        <w:t xml:space="preserve"> 27.6 di cui alla citata Tabella 4;</w:t>
      </w:r>
    </w:p>
    <w:p w14:paraId="418CCEC9" w14:textId="77777777" w:rsidR="008033F2" w:rsidRPr="009A7CD7" w:rsidRDefault="008033F2" w:rsidP="008033F2">
      <w:pPr>
        <w:spacing w:after="120"/>
        <w:jc w:val="both"/>
        <w:rPr>
          <w:rFonts w:cstheme="minorHAnsi"/>
          <w14:ligatures w14:val="standardContextual"/>
        </w:rPr>
      </w:pPr>
      <w:r w:rsidRPr="009A7CD7">
        <w:rPr>
          <w:rFonts w:cstheme="minorHAnsi"/>
          <w:b/>
          <w:bCs/>
          <w14:ligatures w14:val="standardContextual"/>
        </w:rPr>
        <w:t>VISTO</w:t>
      </w:r>
      <w:r w:rsidRPr="009A7CD7">
        <w:rPr>
          <w:rFonts w:cstheme="minorHAnsi"/>
          <w14:ligatures w14:val="standardContextual"/>
        </w:rPr>
        <w:t xml:space="preserve"> il decreto del Presidente del Consiglio dei ministri in data 22 novembre 2023, n. 230, recante “Regolamento di riorganizzazione del Ministero del lavoro e delle politiche sociali e degli Uffici di diretta collaborazione”, e in particolare l’articolo 17 ove si prevede che il Ministero del lavoro e delle </w:t>
      </w:r>
      <w:r w:rsidRPr="009A7CD7">
        <w:rPr>
          <w:rFonts w:cstheme="minorHAnsi"/>
          <w14:ligatures w14:val="standardContextual"/>
        </w:rPr>
        <w:lastRenderedPageBreak/>
        <w:t xml:space="preserve">politiche sociali sia articolato in tre Dipartimenti, tra cui il “Dipartimento per le politiche sociali, del terzo settore e migratorie” e il successivo articolo 39 che prevede l’abrogazione del decreto del Presidente della Repubblica 15 marzo 2017, n. 57 e del decreto del Presidente del Consiglio dei ministri 24 giugno 2021, n. 140; </w:t>
      </w:r>
    </w:p>
    <w:p w14:paraId="51E5CAF6" w14:textId="77777777" w:rsidR="008033F2" w:rsidRPr="009A7CD7" w:rsidRDefault="008033F2" w:rsidP="008033F2">
      <w:pPr>
        <w:spacing w:after="120"/>
        <w:jc w:val="both"/>
        <w:rPr>
          <w:rFonts w:cstheme="minorHAnsi"/>
          <w14:ligatures w14:val="standardContextual"/>
        </w:rPr>
      </w:pPr>
      <w:r w:rsidRPr="009A7CD7">
        <w:rPr>
          <w:rFonts w:cstheme="minorHAnsi"/>
          <w:b/>
          <w:lang w:eastAsia="zh-CN"/>
        </w:rPr>
        <w:t>VISTI</w:t>
      </w:r>
      <w:r w:rsidRPr="009A7CD7">
        <w:rPr>
          <w:rFonts w:cstheme="minorHAnsi"/>
          <w:bCs/>
          <w:lang w:eastAsia="zh-CN"/>
        </w:rPr>
        <w:t>,</w:t>
      </w:r>
      <w:r w:rsidRPr="009A7CD7">
        <w:rPr>
          <w:rFonts w:cstheme="minorHAnsi"/>
          <w:b/>
          <w:lang w:eastAsia="zh-CN"/>
        </w:rPr>
        <w:t xml:space="preserve"> </w:t>
      </w:r>
      <w:r w:rsidRPr="009A7CD7">
        <w:rPr>
          <w:rFonts w:cstheme="minorHAnsi"/>
          <w:bCs/>
          <w:lang w:eastAsia="zh-CN"/>
        </w:rPr>
        <w:t xml:space="preserve">altresì, gli articoli 20 e 21 del citato </w:t>
      </w:r>
      <w:r w:rsidRPr="009A7CD7">
        <w:rPr>
          <w:rFonts w:cstheme="minorHAnsi"/>
          <w14:ligatures w14:val="standardContextual"/>
        </w:rPr>
        <w:t>decreto del Presidente del Consiglio dei ministri</w:t>
      </w:r>
      <w:r w:rsidRPr="009A7CD7">
        <w:rPr>
          <w:rFonts w:cstheme="minorHAnsi"/>
          <w:bCs/>
          <w:lang w:eastAsia="zh-CN"/>
        </w:rPr>
        <w:t xml:space="preserve"> n. 230 del 22 novembre 2023, che istituiscono nell’ambito del Dipartimento per le politiche sociali, del terzo settore e migratorie del Ministero del lavoro e delle politiche sociali la  Direzione Generale per lo sviluppo sociale e gli aiuti alle povertà, cui è attribuita, tra l’altro, la gestione dei trasferimenti di natura assistenziale agli enti previdenziali, anche in relazione alla tutela dei diritti soggettivi, precedentemente attribuita alla ex Direzione Generale per la lotta alla povertà e per la programmazione sociale</w:t>
      </w:r>
      <w:r w:rsidRPr="009A7CD7">
        <w:rPr>
          <w:rFonts w:cstheme="minorHAnsi"/>
          <w14:ligatures w14:val="standardContextual"/>
        </w:rPr>
        <w:t>;</w:t>
      </w:r>
    </w:p>
    <w:p w14:paraId="1EF79E38" w14:textId="38AF5CFB" w:rsidR="008033F2" w:rsidRPr="009A7CD7" w:rsidRDefault="008033F2" w:rsidP="00DC7092">
      <w:pPr>
        <w:spacing w:after="120"/>
        <w:jc w:val="both"/>
        <w:rPr>
          <w:rFonts w:cstheme="minorHAnsi"/>
          <w:bCs/>
        </w:rPr>
      </w:pPr>
      <w:r w:rsidRPr="009A7CD7">
        <w:rPr>
          <w:rFonts w:cstheme="minorHAnsi"/>
          <w:b/>
        </w:rPr>
        <w:t>VISTO</w:t>
      </w:r>
      <w:r w:rsidRPr="009A7CD7">
        <w:rPr>
          <w:rFonts w:cstheme="minorHAnsi"/>
          <w:bCs/>
        </w:rPr>
        <w:t xml:space="preserve"> il decreto del Capo Dipartimento n. 1 del 12 febbraio 2025, registrato </w:t>
      </w:r>
      <w:r w:rsidRPr="009A7CD7">
        <w:rPr>
          <w:rFonts w:cstheme="minorHAnsi"/>
        </w:rPr>
        <w:t>dall’Ufficio centrale di bilancio al n. 88 in data 14 febbraio 2025</w:t>
      </w:r>
      <w:r w:rsidRPr="009A7CD7">
        <w:rPr>
          <w:rFonts w:cstheme="minorHAnsi"/>
          <w:bCs/>
        </w:rPr>
        <w:t>, con il quale all’articolo 1 sono assegnate, per l’esercizio finanziario 2025, al Direttore della Direzione Generale per lo sviluppo sociale e gli aiuti alle povertà le risorse finanziarie dei capitoli della Missione 24, Programma 12;</w:t>
      </w:r>
    </w:p>
    <w:p w14:paraId="76B43663" w14:textId="50B3DB6C" w:rsidR="00650B7A" w:rsidRPr="009A7CD7" w:rsidRDefault="00650B7A" w:rsidP="001B4D50">
      <w:pPr>
        <w:tabs>
          <w:tab w:val="left" w:pos="851"/>
        </w:tabs>
        <w:spacing w:after="120"/>
        <w:jc w:val="both"/>
      </w:pPr>
      <w:r w:rsidRPr="009A7CD7">
        <w:rPr>
          <w:b/>
          <w:bCs/>
        </w:rPr>
        <w:t xml:space="preserve">VISTO </w:t>
      </w:r>
      <w:r w:rsidRPr="009A7CD7">
        <w:t xml:space="preserve">il decreto legislativo 15 marzo 2024, n. 29, recante </w:t>
      </w:r>
      <w:r w:rsidR="00D81FD3" w:rsidRPr="009A7CD7">
        <w:rPr>
          <w:i/>
          <w:iCs/>
        </w:rPr>
        <w:t>Disposizioni in materia di politiche in favore delle persone anziane, in attuazione della delega di cui agli articoli 3, 4 e 5 della legge 23 marzo 2023, n. 33</w:t>
      </w:r>
      <w:r w:rsidR="00D81FD3" w:rsidRPr="009A7CD7">
        <w:t>;</w:t>
      </w:r>
    </w:p>
    <w:p w14:paraId="240E1E40" w14:textId="07F3806C" w:rsidR="003F06B3" w:rsidRPr="009A7CD7" w:rsidRDefault="003F06B3" w:rsidP="001B4D50">
      <w:pPr>
        <w:tabs>
          <w:tab w:val="left" w:pos="851"/>
        </w:tabs>
        <w:spacing w:after="120"/>
        <w:jc w:val="both"/>
      </w:pPr>
      <w:r w:rsidRPr="009A7CD7">
        <w:rPr>
          <w:b/>
          <w:bCs/>
        </w:rPr>
        <w:t>VISTO</w:t>
      </w:r>
      <w:r w:rsidRPr="009A7CD7">
        <w:t xml:space="preserve"> decreto legislativo 3 maggio 2024, n. 62, recante </w:t>
      </w:r>
      <w:r w:rsidR="00304297" w:rsidRPr="009A7CD7">
        <w:t>“</w:t>
      </w:r>
      <w:r w:rsidRPr="009A7CD7">
        <w:t>Definizione della condizione di disabilità, della valutazione di base, di accomodamento ragionevole, della valutazione multidimensionale per l</w:t>
      </w:r>
      <w:r w:rsidR="00376658" w:rsidRPr="009A7CD7">
        <w:t>’</w:t>
      </w:r>
      <w:r w:rsidRPr="009A7CD7">
        <w:t>elaborazione e attuazione del progetto di vita individuale personalizzato e partecipato</w:t>
      </w:r>
      <w:r w:rsidR="00304297" w:rsidRPr="009A7CD7">
        <w:t>”</w:t>
      </w:r>
      <w:r w:rsidR="00767A04" w:rsidRPr="009A7CD7">
        <w:t>;</w:t>
      </w:r>
    </w:p>
    <w:p w14:paraId="62C64B1F" w14:textId="1EF590CF" w:rsidR="00767A04" w:rsidRPr="009A7CD7" w:rsidRDefault="00767A04" w:rsidP="001B4D50">
      <w:pPr>
        <w:tabs>
          <w:tab w:val="left" w:pos="851"/>
        </w:tabs>
        <w:spacing w:after="120"/>
        <w:jc w:val="both"/>
      </w:pPr>
      <w:r w:rsidRPr="009A7CD7">
        <w:rPr>
          <w:b/>
          <w:bCs/>
        </w:rPr>
        <w:t>VISTO</w:t>
      </w:r>
      <w:r w:rsidRPr="009A7CD7">
        <w:t xml:space="preserve"> il decreto 12 novembre 2024, n. 197, recante “Regolamento recante la disciplina per la procedura di sperimentazione della valutazione multidimensionale e del progetto di vita individuale personalizzato e partecipato, le relative modalità, le risorse da assegnare e il monitoraggio”;</w:t>
      </w:r>
    </w:p>
    <w:p w14:paraId="321EF4BA" w14:textId="748BAF80" w:rsidR="0049585F" w:rsidRPr="009A7CD7" w:rsidRDefault="00C53A2F" w:rsidP="001B4D50">
      <w:pPr>
        <w:spacing w:after="120"/>
        <w:jc w:val="both"/>
        <w:rPr>
          <w:bCs/>
        </w:rPr>
      </w:pPr>
      <w:r w:rsidRPr="009A7CD7">
        <w:rPr>
          <w:b/>
        </w:rPr>
        <w:t>VISTO</w:t>
      </w:r>
      <w:r w:rsidRPr="009A7CD7">
        <w:rPr>
          <w:bCs/>
        </w:rPr>
        <w:t xml:space="preserve"> il </w:t>
      </w:r>
      <w:r w:rsidR="00674C8C" w:rsidRPr="009A7CD7">
        <w:rPr>
          <w:bCs/>
        </w:rPr>
        <w:t>d</w:t>
      </w:r>
      <w:r w:rsidRPr="009A7CD7">
        <w:rPr>
          <w:bCs/>
        </w:rPr>
        <w:t xml:space="preserve">ecreto del Ministro della </w:t>
      </w:r>
      <w:r w:rsidR="00674C8C" w:rsidRPr="009A7CD7">
        <w:rPr>
          <w:bCs/>
        </w:rPr>
        <w:t>s</w:t>
      </w:r>
      <w:r w:rsidRPr="009A7CD7">
        <w:rPr>
          <w:bCs/>
        </w:rPr>
        <w:t>alute 10 aprile 2025, n. 94, recante “Regolamento recante i criteri per l’accertamento della disabilità connessa ai disturbi dello spettro autistico, al diabete di tipo 2 e alla sclerosi multipla, applicabili nella valutazione di base nel periodo di sperimentazione.”;</w:t>
      </w:r>
    </w:p>
    <w:p w14:paraId="0D8FD3CC" w14:textId="630AC1C7" w:rsidR="000847E3" w:rsidRPr="009A7CD7" w:rsidRDefault="00986147" w:rsidP="001B4D50">
      <w:pPr>
        <w:spacing w:after="120"/>
        <w:jc w:val="both"/>
        <w:rPr>
          <w:bCs/>
        </w:rPr>
      </w:pPr>
      <w:r w:rsidRPr="009A7CD7">
        <w:rPr>
          <w:b/>
        </w:rPr>
        <w:lastRenderedPageBreak/>
        <w:t>CONSIDERATO</w:t>
      </w:r>
      <w:r w:rsidRPr="009A7CD7">
        <w:rPr>
          <w:bCs/>
        </w:rPr>
        <w:t xml:space="preserve"> che la </w:t>
      </w:r>
      <w:r w:rsidR="00B62B7C" w:rsidRPr="009A7CD7">
        <w:rPr>
          <w:bCs/>
        </w:rPr>
        <w:t xml:space="preserve">Commissione tecnica per i fabbisogni standard </w:t>
      </w:r>
      <w:r w:rsidR="00AD3A23" w:rsidRPr="009A7CD7">
        <w:rPr>
          <w:bCs/>
        </w:rPr>
        <w:t xml:space="preserve">ha </w:t>
      </w:r>
      <w:r w:rsidR="000847E3" w:rsidRPr="009A7CD7">
        <w:rPr>
          <w:bCs/>
        </w:rPr>
        <w:t xml:space="preserve">evidenziato </w:t>
      </w:r>
      <w:r w:rsidR="00AD3A23" w:rsidRPr="009A7CD7">
        <w:rPr>
          <w:bCs/>
        </w:rPr>
        <w:t>la</w:t>
      </w:r>
      <w:r w:rsidR="000847E3" w:rsidRPr="009A7CD7">
        <w:rPr>
          <w:bCs/>
        </w:rPr>
        <w:t xml:space="preserve"> necessità di provvedere ad una modifica dei criteri di riparto del Fondo </w:t>
      </w:r>
      <w:r w:rsidR="00674C8C" w:rsidRPr="009A7CD7">
        <w:rPr>
          <w:bCs/>
        </w:rPr>
        <w:t>n</w:t>
      </w:r>
      <w:r w:rsidR="000847E3" w:rsidRPr="009A7CD7">
        <w:rPr>
          <w:bCs/>
        </w:rPr>
        <w:t xml:space="preserve">azionale per la </w:t>
      </w:r>
      <w:r w:rsidR="00674C8C" w:rsidRPr="009A7CD7">
        <w:rPr>
          <w:bCs/>
        </w:rPr>
        <w:t>n</w:t>
      </w:r>
      <w:r w:rsidR="000847E3" w:rsidRPr="009A7CD7">
        <w:rPr>
          <w:bCs/>
        </w:rPr>
        <w:t xml:space="preserve">on </w:t>
      </w:r>
      <w:r w:rsidR="00674C8C" w:rsidRPr="009A7CD7">
        <w:rPr>
          <w:bCs/>
        </w:rPr>
        <w:t>a</w:t>
      </w:r>
      <w:r w:rsidR="000847E3" w:rsidRPr="009A7CD7">
        <w:rPr>
          <w:bCs/>
        </w:rPr>
        <w:t xml:space="preserve">utosufficienza, </w:t>
      </w:r>
      <w:r w:rsidR="00674C8C" w:rsidRPr="009A7CD7">
        <w:rPr>
          <w:bCs/>
        </w:rPr>
        <w:t xml:space="preserve">per renderli </w:t>
      </w:r>
      <w:r w:rsidR="009C6A98" w:rsidRPr="009A7CD7">
        <w:rPr>
          <w:bCs/>
        </w:rPr>
        <w:t>più coerenti con la platea dei potenziali beneficiari degli interventi finanziati;</w:t>
      </w:r>
      <w:r w:rsidR="000847E3" w:rsidRPr="009A7CD7">
        <w:rPr>
          <w:bCs/>
        </w:rPr>
        <w:t xml:space="preserve"> </w:t>
      </w:r>
    </w:p>
    <w:p w14:paraId="21622E69" w14:textId="25750B9E" w:rsidR="00613EEA" w:rsidRPr="009A7CD7" w:rsidRDefault="004E65F3" w:rsidP="001B4D50">
      <w:pPr>
        <w:spacing w:after="120"/>
        <w:jc w:val="both"/>
        <w:rPr>
          <w:bCs/>
        </w:rPr>
      </w:pPr>
      <w:r w:rsidRPr="009A7CD7">
        <w:rPr>
          <w:b/>
          <w:bCs/>
        </w:rPr>
        <w:t xml:space="preserve">CONSIDERATO </w:t>
      </w:r>
      <w:r w:rsidRPr="009A7CD7">
        <w:t>che</w:t>
      </w:r>
      <w:r w:rsidR="00B67DC8" w:rsidRPr="009A7CD7">
        <w:t xml:space="preserve"> nell’ambito della Rete della</w:t>
      </w:r>
      <w:r w:rsidR="00B67DC8" w:rsidRPr="009A7CD7">
        <w:rPr>
          <w:bCs/>
        </w:rPr>
        <w:t xml:space="preserve"> protezione e dell’inclusione sociale, in sede tecnica, </w:t>
      </w:r>
      <w:r w:rsidR="00872FD7">
        <w:rPr>
          <w:bCs/>
        </w:rPr>
        <w:t xml:space="preserve">sono stati individuati in maniera condivisa con </w:t>
      </w:r>
      <w:r w:rsidR="008033F2" w:rsidRPr="009A7CD7">
        <w:rPr>
          <w:bCs/>
        </w:rPr>
        <w:t xml:space="preserve">i rappresentanti delle </w:t>
      </w:r>
      <w:r w:rsidR="00B67DC8" w:rsidRPr="009A7CD7">
        <w:rPr>
          <w:bCs/>
        </w:rPr>
        <w:t>Regioni</w:t>
      </w:r>
      <w:r w:rsidR="008033F2" w:rsidRPr="009A7CD7">
        <w:rPr>
          <w:bCs/>
        </w:rPr>
        <w:t xml:space="preserve"> e dell’ANCI</w:t>
      </w:r>
      <w:r w:rsidR="00B67DC8" w:rsidRPr="009A7CD7">
        <w:rPr>
          <w:bCs/>
        </w:rPr>
        <w:t xml:space="preserve"> </w:t>
      </w:r>
      <w:r w:rsidR="009C6A98" w:rsidRPr="009A7CD7">
        <w:rPr>
          <w:bCs/>
        </w:rPr>
        <w:t xml:space="preserve">i </w:t>
      </w:r>
      <w:r w:rsidRPr="009A7CD7">
        <w:rPr>
          <w:bCs/>
        </w:rPr>
        <w:t>nuovi criteri di riparto</w:t>
      </w:r>
      <w:r w:rsidR="00C96A7F" w:rsidRPr="009A7CD7">
        <w:rPr>
          <w:bCs/>
        </w:rPr>
        <w:t xml:space="preserve"> del Fondo </w:t>
      </w:r>
      <w:r w:rsidR="009C6A98" w:rsidRPr="009A7CD7">
        <w:rPr>
          <w:bCs/>
        </w:rPr>
        <w:t>n</w:t>
      </w:r>
      <w:r w:rsidR="00C96A7F" w:rsidRPr="009A7CD7">
        <w:rPr>
          <w:bCs/>
        </w:rPr>
        <w:t xml:space="preserve">azionale per la </w:t>
      </w:r>
      <w:r w:rsidR="009C6A98" w:rsidRPr="009A7CD7">
        <w:rPr>
          <w:bCs/>
        </w:rPr>
        <w:t>n</w:t>
      </w:r>
      <w:r w:rsidR="00C96A7F" w:rsidRPr="009A7CD7">
        <w:rPr>
          <w:bCs/>
        </w:rPr>
        <w:t xml:space="preserve">on </w:t>
      </w:r>
      <w:r w:rsidR="009C6A98" w:rsidRPr="009A7CD7">
        <w:rPr>
          <w:bCs/>
        </w:rPr>
        <w:t>a</w:t>
      </w:r>
      <w:r w:rsidR="00C96A7F" w:rsidRPr="009A7CD7">
        <w:rPr>
          <w:bCs/>
        </w:rPr>
        <w:t>utosufficienza</w:t>
      </w:r>
      <w:r w:rsidR="008641C3" w:rsidRPr="009A7CD7">
        <w:rPr>
          <w:bCs/>
        </w:rPr>
        <w:t xml:space="preserve">, prevedendo di </w:t>
      </w:r>
      <w:r w:rsidR="009C6A98" w:rsidRPr="009A7CD7">
        <w:rPr>
          <w:bCs/>
        </w:rPr>
        <w:t xml:space="preserve">ripartire </w:t>
      </w:r>
      <w:r w:rsidR="00B67DC8" w:rsidRPr="009A7CD7">
        <w:rPr>
          <w:bCs/>
        </w:rPr>
        <w:t xml:space="preserve">l’80% delle risorse </w:t>
      </w:r>
      <w:r w:rsidR="00127C90" w:rsidRPr="009A7CD7">
        <w:rPr>
          <w:bCs/>
        </w:rPr>
        <w:t>disponibili sulla base della popolazione anziana</w:t>
      </w:r>
      <w:r w:rsidR="00881745" w:rsidRPr="009A7CD7">
        <w:rPr>
          <w:bCs/>
        </w:rPr>
        <w:t xml:space="preserve"> </w:t>
      </w:r>
      <w:r w:rsidR="00C66DE3" w:rsidRPr="009A7CD7">
        <w:rPr>
          <w:bCs/>
        </w:rPr>
        <w:t xml:space="preserve">di </w:t>
      </w:r>
      <w:r w:rsidR="00881745" w:rsidRPr="009A7CD7">
        <w:rPr>
          <w:bCs/>
        </w:rPr>
        <w:t>età pari o superiore a 75 anni</w:t>
      </w:r>
      <w:r w:rsidR="009C6A98" w:rsidRPr="009A7CD7">
        <w:rPr>
          <w:bCs/>
        </w:rPr>
        <w:t>;</w:t>
      </w:r>
      <w:r w:rsidR="00881745" w:rsidRPr="009A7CD7">
        <w:rPr>
          <w:bCs/>
        </w:rPr>
        <w:t xml:space="preserve"> il 10%</w:t>
      </w:r>
      <w:r w:rsidR="00C51C0F" w:rsidRPr="009A7CD7">
        <w:rPr>
          <w:bCs/>
        </w:rPr>
        <w:t xml:space="preserve"> </w:t>
      </w:r>
      <w:r w:rsidR="009C6A98" w:rsidRPr="009A7CD7">
        <w:rPr>
          <w:bCs/>
        </w:rPr>
        <w:t xml:space="preserve">delle risorse </w:t>
      </w:r>
      <w:r w:rsidR="00C51C0F" w:rsidRPr="009A7CD7">
        <w:rPr>
          <w:bCs/>
        </w:rPr>
        <w:t>in ragione de</w:t>
      </w:r>
      <w:r w:rsidR="009C6A98" w:rsidRPr="009A7CD7">
        <w:rPr>
          <w:bCs/>
        </w:rPr>
        <w:t>l numero di</w:t>
      </w:r>
      <w:r w:rsidR="00C51C0F" w:rsidRPr="009A7CD7">
        <w:rPr>
          <w:bCs/>
        </w:rPr>
        <w:t xml:space="preserve"> soggetti titolari di indennità di accompagnamento e il restante 10%</w:t>
      </w:r>
      <w:r w:rsidR="00FF712D" w:rsidRPr="009A7CD7">
        <w:rPr>
          <w:bCs/>
        </w:rPr>
        <w:t xml:space="preserve"> in ragione de</w:t>
      </w:r>
      <w:r w:rsidR="009C6A98" w:rsidRPr="009A7CD7">
        <w:rPr>
          <w:bCs/>
        </w:rPr>
        <w:t>l numero d</w:t>
      </w:r>
      <w:r w:rsidR="00FF712D" w:rsidRPr="009A7CD7">
        <w:rPr>
          <w:bCs/>
        </w:rPr>
        <w:t xml:space="preserve">i soggetti in possesso di una certificazione </w:t>
      </w:r>
      <w:r w:rsidR="009C6A98" w:rsidRPr="009A7CD7">
        <w:rPr>
          <w:bCs/>
        </w:rPr>
        <w:t xml:space="preserve">rilasciata </w:t>
      </w:r>
      <w:r w:rsidR="00FF712D" w:rsidRPr="009A7CD7">
        <w:rPr>
          <w:bCs/>
        </w:rPr>
        <w:t xml:space="preserve">ai sensi dell’articolo 3, comma 3, della </w:t>
      </w:r>
      <w:r w:rsidR="009C6A98" w:rsidRPr="009A7CD7">
        <w:rPr>
          <w:bCs/>
        </w:rPr>
        <w:t xml:space="preserve">citata </w:t>
      </w:r>
      <w:r w:rsidR="00FF712D" w:rsidRPr="009A7CD7">
        <w:rPr>
          <w:bCs/>
        </w:rPr>
        <w:t>legge n. 104 del 1992;</w:t>
      </w:r>
    </w:p>
    <w:p w14:paraId="43A3A750" w14:textId="6622751A" w:rsidR="00C37605" w:rsidRPr="009A7CD7" w:rsidRDefault="007F0707" w:rsidP="00354918">
      <w:pPr>
        <w:spacing w:before="120"/>
        <w:jc w:val="both"/>
        <w:rPr>
          <w:rFonts w:eastAsia="Calibri" w:cstheme="minorHAnsi"/>
        </w:rPr>
      </w:pPr>
      <w:r w:rsidRPr="009A7CD7">
        <w:rPr>
          <w:b/>
          <w:bCs/>
        </w:rPr>
        <w:t>CONSIDERATO</w:t>
      </w:r>
      <w:r w:rsidRPr="009A7CD7">
        <w:t xml:space="preserve"> </w:t>
      </w:r>
      <w:r w:rsidRPr="009A7CD7">
        <w:rPr>
          <w:rFonts w:cstheme="minorHAnsi"/>
          <w:bCs/>
        </w:rPr>
        <w:t xml:space="preserve">che le risorse </w:t>
      </w:r>
      <w:r w:rsidR="009538A2" w:rsidRPr="009A7CD7">
        <w:rPr>
          <w:rFonts w:cstheme="minorHAnsi"/>
          <w:bCs/>
        </w:rPr>
        <w:t>disponibili</w:t>
      </w:r>
      <w:r w:rsidR="00872FD7">
        <w:rPr>
          <w:rFonts w:cstheme="minorHAnsi"/>
          <w:bCs/>
        </w:rPr>
        <w:t>,</w:t>
      </w:r>
      <w:r w:rsidR="009538A2" w:rsidRPr="009A7CD7">
        <w:rPr>
          <w:rFonts w:cstheme="minorHAnsi"/>
          <w:bCs/>
        </w:rPr>
        <w:t xml:space="preserve"> a legislazione vigente</w:t>
      </w:r>
      <w:r w:rsidR="00872FD7">
        <w:rPr>
          <w:rFonts w:cstheme="minorHAnsi"/>
          <w:bCs/>
        </w:rPr>
        <w:t>,</w:t>
      </w:r>
      <w:r w:rsidRPr="009A7CD7">
        <w:rPr>
          <w:rFonts w:cstheme="minorHAnsi"/>
          <w:bCs/>
        </w:rPr>
        <w:t xml:space="preserve"> sul capitolo di spesa 3538 “Fondo per le non autosufficienze”,</w:t>
      </w:r>
      <w:r w:rsidRPr="009A7CD7">
        <w:rPr>
          <w:rFonts w:eastAsia="Calibri" w:cstheme="minorHAnsi"/>
        </w:rPr>
        <w:t xml:space="preserve"> nel triennio 2025-2027</w:t>
      </w:r>
      <w:r w:rsidR="00467189" w:rsidRPr="009A7CD7">
        <w:rPr>
          <w:rFonts w:eastAsia="Calibri" w:cstheme="minorHAnsi"/>
        </w:rPr>
        <w:t>,</w:t>
      </w:r>
      <w:r w:rsidRPr="009A7CD7">
        <w:rPr>
          <w:rFonts w:eastAsia="Calibri" w:cstheme="minorHAnsi"/>
        </w:rPr>
        <w:t xml:space="preserve"> sono pari ad euro 919.755.000</w:t>
      </w:r>
      <w:r w:rsidR="00C536C5" w:rsidRPr="009A7CD7">
        <w:rPr>
          <w:rFonts w:eastAsia="Calibri" w:cstheme="minorHAnsi"/>
        </w:rPr>
        <w:t>,00</w:t>
      </w:r>
      <w:r w:rsidRPr="009A7CD7">
        <w:rPr>
          <w:rFonts w:eastAsia="Calibri" w:cstheme="minorHAnsi"/>
        </w:rPr>
        <w:t xml:space="preserve"> per l’annualità 2025, euro 934.570.000</w:t>
      </w:r>
      <w:r w:rsidR="00C536C5" w:rsidRPr="009A7CD7">
        <w:rPr>
          <w:rFonts w:eastAsia="Calibri" w:cstheme="minorHAnsi"/>
        </w:rPr>
        <w:t>,00</w:t>
      </w:r>
      <w:r w:rsidRPr="009A7CD7">
        <w:rPr>
          <w:rFonts w:eastAsia="Calibri" w:cstheme="minorHAnsi"/>
        </w:rPr>
        <w:t xml:space="preserve"> per l’annualità 2026 ed euro 1.108.470.000</w:t>
      </w:r>
      <w:r w:rsidR="00C536C5" w:rsidRPr="009A7CD7">
        <w:rPr>
          <w:rFonts w:eastAsia="Calibri" w:cstheme="minorHAnsi"/>
        </w:rPr>
        <w:t>,00</w:t>
      </w:r>
      <w:r w:rsidRPr="009A7CD7">
        <w:rPr>
          <w:rFonts w:eastAsia="Calibri" w:cstheme="minorHAnsi"/>
        </w:rPr>
        <w:t xml:space="preserve"> per l’annualità 2027;</w:t>
      </w:r>
    </w:p>
    <w:p w14:paraId="7825B392" w14:textId="31B8996F" w:rsidR="007F0707" w:rsidRPr="009A7CD7" w:rsidRDefault="00C37605" w:rsidP="00354918">
      <w:pPr>
        <w:spacing w:before="120"/>
        <w:jc w:val="both"/>
        <w:rPr>
          <w:b/>
        </w:rPr>
      </w:pPr>
      <w:r w:rsidRPr="009A7CD7">
        <w:rPr>
          <w:b/>
        </w:rPr>
        <w:t xml:space="preserve">TENUTO CONTO </w:t>
      </w:r>
      <w:r w:rsidRPr="009A7CD7">
        <w:rPr>
          <w:bCs/>
        </w:rPr>
        <w:t xml:space="preserve">che per ciascuna annualità del triennio 2025-2027 l’importo di </w:t>
      </w:r>
      <w:r w:rsidRPr="009A7CD7">
        <w:rPr>
          <w:rFonts w:eastAsia="Calibri" w:cstheme="minorHAnsi"/>
        </w:rPr>
        <w:t>14.640.000</w:t>
      </w:r>
      <w:r w:rsidR="00C536C5" w:rsidRPr="009A7CD7">
        <w:rPr>
          <w:rFonts w:eastAsia="Calibri" w:cstheme="minorHAnsi"/>
        </w:rPr>
        <w:t>,00</w:t>
      </w:r>
      <w:r w:rsidRPr="009A7CD7">
        <w:rPr>
          <w:rFonts w:eastAsia="Calibri" w:cstheme="minorHAnsi"/>
        </w:rPr>
        <w:t xml:space="preserve"> euro </w:t>
      </w:r>
      <w:r w:rsidR="00F87419" w:rsidRPr="009A7CD7">
        <w:rPr>
          <w:rFonts w:eastAsia="Calibri" w:cstheme="minorHAnsi"/>
        </w:rPr>
        <w:t>è destinato</w:t>
      </w:r>
      <w:r w:rsidRPr="009A7CD7">
        <w:rPr>
          <w:rFonts w:eastAsia="Calibri" w:cstheme="minorHAnsi"/>
        </w:rPr>
        <w:t xml:space="preserve"> alla realizzazione dei progetti di vita indipendente;</w:t>
      </w:r>
    </w:p>
    <w:p w14:paraId="43E88E7D" w14:textId="3B511C54" w:rsidR="007F0707" w:rsidRPr="009A7CD7" w:rsidRDefault="007F0707" w:rsidP="00354918">
      <w:pPr>
        <w:spacing w:before="120" w:after="120"/>
        <w:jc w:val="both"/>
        <w:rPr>
          <w:bCs/>
        </w:rPr>
      </w:pPr>
      <w:r w:rsidRPr="009A7CD7">
        <w:rPr>
          <w:b/>
        </w:rPr>
        <w:t xml:space="preserve">TENUTO CONTO </w:t>
      </w:r>
      <w:bookmarkStart w:id="0" w:name="_Hlk216044132"/>
      <w:r w:rsidRPr="009A7CD7">
        <w:rPr>
          <w:bCs/>
        </w:rPr>
        <w:t>ch</w:t>
      </w:r>
      <w:r w:rsidR="00C37605" w:rsidRPr="009A7CD7">
        <w:rPr>
          <w:bCs/>
        </w:rPr>
        <w:t>e p</w:t>
      </w:r>
      <w:r w:rsidRPr="009A7CD7">
        <w:rPr>
          <w:bCs/>
        </w:rPr>
        <w:t xml:space="preserve">er ciascuna annualità del triennio 2025-2027 </w:t>
      </w:r>
      <w:bookmarkEnd w:id="0"/>
      <w:r w:rsidRPr="009A7CD7">
        <w:rPr>
          <w:bCs/>
        </w:rPr>
        <w:t xml:space="preserve">l’ importo di 250 milioni di euro del Fondo per la non autosufficienza è invece specificamente destinato alla platea delle persone anziane non autosufficienti per le finalità di cui all’articolo 1, comma 162, lettere </w:t>
      </w:r>
      <w:r w:rsidRPr="009A7CD7">
        <w:rPr>
          <w:bCs/>
          <w:i/>
          <w:iCs/>
        </w:rPr>
        <w:t xml:space="preserve">a), b) </w:t>
      </w:r>
      <w:r w:rsidRPr="009A7CD7">
        <w:rPr>
          <w:bCs/>
        </w:rPr>
        <w:t>e</w:t>
      </w:r>
      <w:r w:rsidRPr="009A7CD7">
        <w:rPr>
          <w:bCs/>
          <w:i/>
          <w:iCs/>
        </w:rPr>
        <w:t xml:space="preserve"> c</w:t>
      </w:r>
      <w:r w:rsidRPr="009A7CD7">
        <w:rPr>
          <w:bCs/>
        </w:rPr>
        <w:t>) della citata legge n. 234 del 2021 e che ulteriori 50 milioni di euro sono altresì destinati agli interventi di cui all’articolo 1, comma 163, della medesima legge, finalizzati alle assunzioni di personale presso i Punti unici di accesso (PUA);</w:t>
      </w:r>
    </w:p>
    <w:p w14:paraId="0D99C22A" w14:textId="0C519C2E" w:rsidR="00EF1E68" w:rsidRPr="009A7CD7" w:rsidRDefault="00EF1E68" w:rsidP="001B4D50">
      <w:pPr>
        <w:spacing w:after="120"/>
        <w:jc w:val="both"/>
        <w:rPr>
          <w:bCs/>
        </w:rPr>
      </w:pPr>
      <w:r w:rsidRPr="009A7CD7">
        <w:rPr>
          <w:b/>
        </w:rPr>
        <w:t>CONSIDERATO</w:t>
      </w:r>
      <w:r w:rsidRPr="009A7CD7">
        <w:rPr>
          <w:bCs/>
        </w:rPr>
        <w:t xml:space="preserve"> che</w:t>
      </w:r>
      <w:r w:rsidR="00530F5D" w:rsidRPr="009A7CD7">
        <w:rPr>
          <w:bCs/>
        </w:rPr>
        <w:t xml:space="preserve">, ai fini del relativo riparto, l’importo </w:t>
      </w:r>
      <w:r w:rsidR="00F87419" w:rsidRPr="009A7CD7">
        <w:rPr>
          <w:bCs/>
        </w:rPr>
        <w:t xml:space="preserve">residuo </w:t>
      </w:r>
      <w:r w:rsidR="00530F5D" w:rsidRPr="009A7CD7">
        <w:rPr>
          <w:bCs/>
        </w:rPr>
        <w:t xml:space="preserve">di </w:t>
      </w:r>
      <w:r w:rsidR="00A1776D" w:rsidRPr="009A7CD7">
        <w:rPr>
          <w:bCs/>
        </w:rPr>
        <w:t xml:space="preserve">euro </w:t>
      </w:r>
      <w:r w:rsidR="00F87419" w:rsidRPr="009A7CD7">
        <w:rPr>
          <w:bCs/>
        </w:rPr>
        <w:t>605.115.000</w:t>
      </w:r>
      <w:r w:rsidR="00C536C5" w:rsidRPr="009A7CD7">
        <w:rPr>
          <w:bCs/>
        </w:rPr>
        <w:t>,00</w:t>
      </w:r>
      <w:r w:rsidR="00F87419" w:rsidRPr="009A7CD7">
        <w:rPr>
          <w:bCs/>
        </w:rPr>
        <w:t xml:space="preserve"> per l’annualità 2025, di </w:t>
      </w:r>
      <w:r w:rsidR="00A1776D" w:rsidRPr="009A7CD7">
        <w:rPr>
          <w:bCs/>
        </w:rPr>
        <w:t xml:space="preserve">euro </w:t>
      </w:r>
      <w:r w:rsidR="00F87419" w:rsidRPr="009A7CD7">
        <w:rPr>
          <w:bCs/>
        </w:rPr>
        <w:t>619.930.000</w:t>
      </w:r>
      <w:r w:rsidR="00C536C5" w:rsidRPr="009A7CD7">
        <w:rPr>
          <w:bCs/>
        </w:rPr>
        <w:t>,00</w:t>
      </w:r>
      <w:r w:rsidR="00F87419" w:rsidRPr="009A7CD7">
        <w:rPr>
          <w:bCs/>
        </w:rPr>
        <w:t xml:space="preserve"> per l’annualità 2026 e di</w:t>
      </w:r>
      <w:r w:rsidR="00A1776D" w:rsidRPr="009A7CD7">
        <w:rPr>
          <w:bCs/>
        </w:rPr>
        <w:t xml:space="preserve"> euro</w:t>
      </w:r>
      <w:r w:rsidR="00F87419" w:rsidRPr="009A7CD7">
        <w:rPr>
          <w:bCs/>
        </w:rPr>
        <w:t xml:space="preserve"> 793.830.000</w:t>
      </w:r>
      <w:r w:rsidR="00C536C5" w:rsidRPr="009A7CD7">
        <w:rPr>
          <w:bCs/>
        </w:rPr>
        <w:t>,00</w:t>
      </w:r>
      <w:r w:rsidR="00F87419" w:rsidRPr="009A7CD7">
        <w:rPr>
          <w:bCs/>
        </w:rPr>
        <w:t xml:space="preserve"> per l’annualità 2027</w:t>
      </w:r>
      <w:r w:rsidR="00DC1874" w:rsidRPr="009A7CD7">
        <w:rPr>
          <w:bCs/>
        </w:rPr>
        <w:t xml:space="preserve"> </w:t>
      </w:r>
      <w:r w:rsidR="00084541" w:rsidRPr="009A7CD7">
        <w:rPr>
          <w:bCs/>
        </w:rPr>
        <w:t xml:space="preserve">del Fondo per la </w:t>
      </w:r>
      <w:r w:rsidR="00530F5D" w:rsidRPr="009A7CD7">
        <w:rPr>
          <w:bCs/>
        </w:rPr>
        <w:t>n</w:t>
      </w:r>
      <w:r w:rsidR="00084541" w:rsidRPr="009A7CD7">
        <w:rPr>
          <w:bCs/>
        </w:rPr>
        <w:t xml:space="preserve">on </w:t>
      </w:r>
      <w:r w:rsidR="00530F5D" w:rsidRPr="009A7CD7">
        <w:rPr>
          <w:bCs/>
        </w:rPr>
        <w:t>a</w:t>
      </w:r>
      <w:r w:rsidR="00084541" w:rsidRPr="009A7CD7">
        <w:rPr>
          <w:bCs/>
        </w:rPr>
        <w:t>utosufficienza</w:t>
      </w:r>
      <w:r w:rsidR="00530F5D" w:rsidRPr="009A7CD7">
        <w:rPr>
          <w:bCs/>
        </w:rPr>
        <w:t xml:space="preserve"> è destinato, in maniera indistinta, </w:t>
      </w:r>
      <w:r w:rsidR="003F2C34" w:rsidRPr="009A7CD7">
        <w:rPr>
          <w:bCs/>
        </w:rPr>
        <w:t>alla platea delle persone con disabilità in condizione di non autosufficienza e alle persone anziane non autosufficienti</w:t>
      </w:r>
      <w:r w:rsidR="00D06AFE" w:rsidRPr="009A7CD7">
        <w:rPr>
          <w:bCs/>
        </w:rPr>
        <w:t>;</w:t>
      </w:r>
    </w:p>
    <w:p w14:paraId="5D1BDDB1" w14:textId="4461AEFD" w:rsidR="00763FDF" w:rsidRPr="009A7CD7" w:rsidRDefault="00B00A9D" w:rsidP="001B4D50">
      <w:pPr>
        <w:spacing w:after="120"/>
        <w:jc w:val="both"/>
        <w:rPr>
          <w:bCs/>
        </w:rPr>
      </w:pPr>
      <w:r w:rsidRPr="009A7CD7">
        <w:rPr>
          <w:b/>
        </w:rPr>
        <w:t>CONSIDERATO</w:t>
      </w:r>
      <w:r w:rsidRPr="009A7CD7">
        <w:rPr>
          <w:bCs/>
        </w:rPr>
        <w:t xml:space="preserve"> che le regioni, rispetto alla quota di</w:t>
      </w:r>
      <w:r w:rsidR="00210CBF" w:rsidRPr="009A7CD7">
        <w:rPr>
          <w:bCs/>
        </w:rPr>
        <w:t xml:space="preserve"> risorse da destinare </w:t>
      </w:r>
      <w:r w:rsidR="00530F5D" w:rsidRPr="009A7CD7">
        <w:rPr>
          <w:bCs/>
        </w:rPr>
        <w:t xml:space="preserve">in maniera indistinta </w:t>
      </w:r>
      <w:r w:rsidR="00210CBF" w:rsidRPr="009A7CD7">
        <w:rPr>
          <w:bCs/>
        </w:rPr>
        <w:t>alla platea delle persone con disabilità in condizione di non autosufficienza e alle persone anziane non autosufficienti</w:t>
      </w:r>
      <w:r w:rsidR="006214F8" w:rsidRPr="009A7CD7">
        <w:rPr>
          <w:bCs/>
        </w:rPr>
        <w:t xml:space="preserve">, </w:t>
      </w:r>
      <w:r w:rsidR="00FF6255" w:rsidRPr="009A7CD7">
        <w:rPr>
          <w:bCs/>
        </w:rPr>
        <w:t xml:space="preserve">hanno </w:t>
      </w:r>
      <w:r w:rsidR="00530F5D" w:rsidRPr="009A7CD7">
        <w:rPr>
          <w:bCs/>
        </w:rPr>
        <w:t xml:space="preserve">manifestato l’esigenza </w:t>
      </w:r>
      <w:r w:rsidR="00FF6255" w:rsidRPr="009A7CD7">
        <w:rPr>
          <w:bCs/>
        </w:rPr>
        <w:t xml:space="preserve">di </w:t>
      </w:r>
      <w:r w:rsidR="0018225A" w:rsidRPr="009A7CD7">
        <w:rPr>
          <w:bCs/>
        </w:rPr>
        <w:t xml:space="preserve">prevedere un </w:t>
      </w:r>
      <w:r w:rsidR="00D10338" w:rsidRPr="009A7CD7">
        <w:rPr>
          <w:bCs/>
        </w:rPr>
        <w:t xml:space="preserve">meccanismo di flessibilità che consenta di gestire eventuali scostamenti </w:t>
      </w:r>
      <w:r w:rsidR="00872FD7">
        <w:rPr>
          <w:bCs/>
        </w:rPr>
        <w:t xml:space="preserve">in risposta </w:t>
      </w:r>
      <w:r w:rsidR="00D10338" w:rsidRPr="009A7CD7">
        <w:rPr>
          <w:bCs/>
        </w:rPr>
        <w:t xml:space="preserve">alle esigenze </w:t>
      </w:r>
      <w:r w:rsidR="00836AA4" w:rsidRPr="009A7CD7">
        <w:rPr>
          <w:bCs/>
        </w:rPr>
        <w:t xml:space="preserve">rilevate </w:t>
      </w:r>
      <w:r w:rsidR="00763FDF" w:rsidRPr="009A7CD7">
        <w:rPr>
          <w:bCs/>
        </w:rPr>
        <w:t xml:space="preserve">a livello territoriale; </w:t>
      </w:r>
    </w:p>
    <w:p w14:paraId="25CC980D" w14:textId="021D7242" w:rsidR="00BB0AAF" w:rsidRPr="009A7CD7" w:rsidRDefault="00224325" w:rsidP="001B4D50">
      <w:pPr>
        <w:spacing w:after="120"/>
        <w:jc w:val="both"/>
        <w:rPr>
          <w:bCs/>
        </w:rPr>
      </w:pPr>
      <w:r w:rsidRPr="009A7CD7">
        <w:rPr>
          <w:b/>
        </w:rPr>
        <w:lastRenderedPageBreak/>
        <w:t>CONSIDERATO</w:t>
      </w:r>
      <w:r w:rsidRPr="009A7CD7">
        <w:rPr>
          <w:bCs/>
        </w:rPr>
        <w:t xml:space="preserve"> l’articolo 1, comma 235</w:t>
      </w:r>
      <w:r w:rsidR="009C32AD" w:rsidRPr="009A7CD7">
        <w:rPr>
          <w:bCs/>
        </w:rPr>
        <w:t>,</w:t>
      </w:r>
      <w:r w:rsidRPr="009A7CD7">
        <w:rPr>
          <w:bCs/>
        </w:rPr>
        <w:t xml:space="preserve"> della legge n. 207 del 2024, </w:t>
      </w:r>
      <w:r w:rsidR="00DD7AA7" w:rsidRPr="009A7CD7">
        <w:rPr>
          <w:bCs/>
        </w:rPr>
        <w:t>recante “Bilancio di previsione dello Stato per l</w:t>
      </w:r>
      <w:r w:rsidR="00223B9D" w:rsidRPr="009A7CD7">
        <w:rPr>
          <w:bCs/>
        </w:rPr>
        <w:t>’</w:t>
      </w:r>
      <w:r w:rsidR="00DD7AA7" w:rsidRPr="009A7CD7">
        <w:rPr>
          <w:bCs/>
        </w:rPr>
        <w:t>anno finanziario 2025 e bilancio pluriennale per il triennio 2025-2027”</w:t>
      </w:r>
      <w:r w:rsidR="00890095" w:rsidRPr="009A7CD7">
        <w:rPr>
          <w:bCs/>
        </w:rPr>
        <w:t xml:space="preserve">, il quale prevede che </w:t>
      </w:r>
      <w:r w:rsidR="006A6987" w:rsidRPr="009A7CD7">
        <w:rPr>
          <w:bCs/>
        </w:rPr>
        <w:t>“all</w:t>
      </w:r>
      <w:r w:rsidR="00223B9D" w:rsidRPr="009A7CD7">
        <w:rPr>
          <w:bCs/>
        </w:rPr>
        <w:t>’</w:t>
      </w:r>
      <w:r w:rsidR="006A6987" w:rsidRPr="009A7CD7">
        <w:rPr>
          <w:bCs/>
        </w:rPr>
        <w:t>articolo 1, comma 334, della legge 30 dicembre 2020, n. 178, sono aggiunti, in fine, i seguenti periodi: «Le risorse del fondo di cui al primo periodo del presente comma, fino all'adozione degli interventi legislativi ivi previsti, sono destinate alle medesime finalità del Fondo per le non autosufficienze, di cui all</w:t>
      </w:r>
      <w:r w:rsidR="00594581" w:rsidRPr="009A7CD7">
        <w:rPr>
          <w:bCs/>
        </w:rPr>
        <w:t>’</w:t>
      </w:r>
      <w:r w:rsidR="006A6987" w:rsidRPr="009A7CD7">
        <w:rPr>
          <w:bCs/>
        </w:rPr>
        <w:t>articolo 1, comma 1264, della legge 27 dicembre 2006, n. 296, per l</w:t>
      </w:r>
      <w:r w:rsidR="00223B9D" w:rsidRPr="009A7CD7">
        <w:rPr>
          <w:bCs/>
        </w:rPr>
        <w:t>’</w:t>
      </w:r>
      <w:r w:rsidR="006A6987" w:rsidRPr="009A7CD7">
        <w:rPr>
          <w:bCs/>
        </w:rPr>
        <w:t xml:space="preserve">erogazione dei servizi socio-assistenziali nelle aree di cui all'articolo 1, comma 162, lettere </w:t>
      </w:r>
      <w:r w:rsidR="006A6987" w:rsidRPr="009A7CD7">
        <w:rPr>
          <w:bCs/>
          <w:i/>
          <w:iCs/>
        </w:rPr>
        <w:t xml:space="preserve">a), b) </w:t>
      </w:r>
      <w:r w:rsidR="006A6987" w:rsidRPr="009A7CD7">
        <w:rPr>
          <w:bCs/>
        </w:rPr>
        <w:t>e</w:t>
      </w:r>
      <w:r w:rsidR="006A6987" w:rsidRPr="009A7CD7">
        <w:rPr>
          <w:bCs/>
          <w:i/>
          <w:iCs/>
        </w:rPr>
        <w:t xml:space="preserve"> c)</w:t>
      </w:r>
      <w:r w:rsidR="006A6987" w:rsidRPr="009A7CD7">
        <w:rPr>
          <w:bCs/>
        </w:rPr>
        <w:t>, della legge 30 dicembre 2021, n. 234. Per l</w:t>
      </w:r>
      <w:r w:rsidR="00223B9D" w:rsidRPr="009A7CD7">
        <w:rPr>
          <w:bCs/>
        </w:rPr>
        <w:t>’</w:t>
      </w:r>
      <w:r w:rsidR="006A6987" w:rsidRPr="009A7CD7">
        <w:rPr>
          <w:bCs/>
        </w:rPr>
        <w:t>attuazione della previsione di cui al secondo periodo</w:t>
      </w:r>
      <w:r w:rsidR="00223B9D" w:rsidRPr="009A7CD7">
        <w:rPr>
          <w:bCs/>
        </w:rPr>
        <w:t>,</w:t>
      </w:r>
      <w:r w:rsidR="006A6987" w:rsidRPr="009A7CD7">
        <w:rPr>
          <w:bCs/>
        </w:rPr>
        <w:t xml:space="preserve"> il Ministro dell</w:t>
      </w:r>
      <w:r w:rsidR="00223B9D" w:rsidRPr="009A7CD7">
        <w:rPr>
          <w:bCs/>
        </w:rPr>
        <w:t>’</w:t>
      </w:r>
      <w:r w:rsidR="006A6987" w:rsidRPr="009A7CD7">
        <w:rPr>
          <w:bCs/>
        </w:rPr>
        <w:t>economia e delle finanze è autorizzato ad apportare le necessarie variazioni di bilancio</w:t>
      </w:r>
      <w:r w:rsidR="00223B9D" w:rsidRPr="009A7CD7">
        <w:rPr>
          <w:bCs/>
        </w:rPr>
        <w:t>.</w:t>
      </w:r>
      <w:r w:rsidR="006A6987" w:rsidRPr="009A7CD7">
        <w:rPr>
          <w:bCs/>
        </w:rPr>
        <w:t>»”;</w:t>
      </w:r>
    </w:p>
    <w:p w14:paraId="33169A1E" w14:textId="52C312DE" w:rsidR="00B03DAB" w:rsidRPr="009A7CD7" w:rsidRDefault="00223B9D" w:rsidP="001B4D50">
      <w:pPr>
        <w:spacing w:after="120"/>
        <w:jc w:val="both"/>
        <w:rPr>
          <w:bCs/>
        </w:rPr>
      </w:pPr>
      <w:r w:rsidRPr="009A7CD7">
        <w:rPr>
          <w:b/>
        </w:rPr>
        <w:t xml:space="preserve">VISTA </w:t>
      </w:r>
      <w:r w:rsidR="007A4965" w:rsidRPr="009A7CD7">
        <w:rPr>
          <w:bCs/>
        </w:rPr>
        <w:t xml:space="preserve">la nota </w:t>
      </w:r>
      <w:r w:rsidRPr="009A7CD7">
        <w:rPr>
          <w:bCs/>
        </w:rPr>
        <w:t xml:space="preserve">prot. </w:t>
      </w:r>
      <w:r w:rsidR="004E0AE8" w:rsidRPr="009A7CD7">
        <w:rPr>
          <w:bCs/>
        </w:rPr>
        <w:t>0005462 del 24 aprile 2025</w:t>
      </w:r>
      <w:r w:rsidRPr="009A7CD7">
        <w:rPr>
          <w:bCs/>
        </w:rPr>
        <w:t xml:space="preserve">, con la quale la Direzione Generale </w:t>
      </w:r>
      <w:r w:rsidR="00872FD7">
        <w:rPr>
          <w:bCs/>
        </w:rPr>
        <w:t xml:space="preserve">per lo sviluppo sociale e gli aiuti alle povertà </w:t>
      </w:r>
      <w:r w:rsidRPr="009A7CD7">
        <w:rPr>
          <w:bCs/>
        </w:rPr>
        <w:t xml:space="preserve">del </w:t>
      </w:r>
      <w:r w:rsidR="004E0AE8" w:rsidRPr="009A7CD7">
        <w:rPr>
          <w:bCs/>
        </w:rPr>
        <w:t xml:space="preserve">Ministero del </w:t>
      </w:r>
      <w:r w:rsidRPr="009A7CD7">
        <w:rPr>
          <w:bCs/>
        </w:rPr>
        <w:t>l</w:t>
      </w:r>
      <w:r w:rsidR="004E0AE8" w:rsidRPr="009A7CD7">
        <w:rPr>
          <w:bCs/>
        </w:rPr>
        <w:t>avoro e delle politiche sociali</w:t>
      </w:r>
      <w:r w:rsidRPr="009A7CD7">
        <w:rPr>
          <w:bCs/>
        </w:rPr>
        <w:t xml:space="preserve"> ha riconosciuto</w:t>
      </w:r>
      <w:r w:rsidR="00A4435F" w:rsidRPr="009A7CD7">
        <w:rPr>
          <w:bCs/>
        </w:rPr>
        <w:t xml:space="preserve">, nelle more dell’adozione del nuovo Piano per la non autosufficienza </w:t>
      </w:r>
      <w:r w:rsidR="00476E16" w:rsidRPr="009A7CD7">
        <w:rPr>
          <w:bCs/>
        </w:rPr>
        <w:t>2025-2027,</w:t>
      </w:r>
      <w:r w:rsidRPr="009A7CD7">
        <w:rPr>
          <w:bCs/>
        </w:rPr>
        <w:t xml:space="preserve"> </w:t>
      </w:r>
      <w:r w:rsidR="003328CA" w:rsidRPr="009A7CD7">
        <w:rPr>
          <w:bCs/>
        </w:rPr>
        <w:t>la possibilit</w:t>
      </w:r>
      <w:r w:rsidR="00A85795" w:rsidRPr="009A7CD7">
        <w:rPr>
          <w:bCs/>
        </w:rPr>
        <w:t xml:space="preserve">à per le </w:t>
      </w:r>
      <w:r w:rsidRPr="009A7CD7">
        <w:rPr>
          <w:bCs/>
        </w:rPr>
        <w:t>r</w:t>
      </w:r>
      <w:r w:rsidR="00A85795" w:rsidRPr="009A7CD7">
        <w:rPr>
          <w:bCs/>
        </w:rPr>
        <w:t xml:space="preserve">egioni di poter garantire la continuità assistenziale e gli interventi rivolti alle persone in condizioni di disabilità gravissima, </w:t>
      </w:r>
      <w:r w:rsidR="00B03DAB" w:rsidRPr="009A7CD7">
        <w:rPr>
          <w:bCs/>
        </w:rPr>
        <w:t>utilizzando</w:t>
      </w:r>
      <w:r w:rsidR="00A85795" w:rsidRPr="009A7CD7">
        <w:rPr>
          <w:bCs/>
        </w:rPr>
        <w:t xml:space="preserve"> </w:t>
      </w:r>
      <w:r w:rsidR="00B03DAB" w:rsidRPr="009A7CD7">
        <w:rPr>
          <w:bCs/>
        </w:rPr>
        <w:t>risorse proprie in anticipazione e in continuità, con specifico riferimento alle mensilità dell’anno 2025 antecedenti all’adozione del nuovo Piano nazionale e nei limiti delle risorse attribuite per l’annualità 2024</w:t>
      </w:r>
      <w:r w:rsidR="009C32AD" w:rsidRPr="009A7CD7">
        <w:rPr>
          <w:bCs/>
        </w:rPr>
        <w:t>;</w:t>
      </w:r>
    </w:p>
    <w:p w14:paraId="53225B47" w14:textId="641D7DC5" w:rsidR="00944F0F" w:rsidRPr="009A7CD7" w:rsidRDefault="00944F0F" w:rsidP="00944F0F">
      <w:pPr>
        <w:spacing w:after="120"/>
        <w:jc w:val="both"/>
        <w:rPr>
          <w:bCs/>
        </w:rPr>
      </w:pPr>
      <w:r w:rsidRPr="009A7CD7">
        <w:rPr>
          <w:b/>
        </w:rPr>
        <w:t xml:space="preserve">VISTA </w:t>
      </w:r>
      <w:r w:rsidRPr="009A7CD7">
        <w:rPr>
          <w:bCs/>
        </w:rPr>
        <w:t>la nota prot. 28/0022159 del 30 ottobre 2025</w:t>
      </w:r>
      <w:r w:rsidR="00872FD7">
        <w:rPr>
          <w:bCs/>
        </w:rPr>
        <w:t>,</w:t>
      </w:r>
      <w:r w:rsidRPr="009A7CD7">
        <w:rPr>
          <w:bCs/>
        </w:rPr>
        <w:t xml:space="preserve"> con la quale il Ministro del lavoro e delle politiche sociali ha richiesto la variazione di bilancio, ai sensi dell’articolo 33, comma 4 sexies</w:t>
      </w:r>
      <w:r w:rsidR="00940814">
        <w:rPr>
          <w:bCs/>
        </w:rPr>
        <w:t>,</w:t>
      </w:r>
      <w:r w:rsidRPr="009A7CD7">
        <w:rPr>
          <w:bCs/>
        </w:rPr>
        <w:t xml:space="preserve"> della legge </w:t>
      </w:r>
      <w:r w:rsidR="00940814">
        <w:rPr>
          <w:bCs/>
        </w:rPr>
        <w:t xml:space="preserve">n. </w:t>
      </w:r>
      <w:r w:rsidRPr="009A7CD7">
        <w:rPr>
          <w:bCs/>
        </w:rPr>
        <w:t>196/2009, dal capitolo 3555, piano gestionale 01 - Fondo per il sostegno del ruolo di cura e di assistenza del caregiver familiare, (istituito con legge 30 dicembre 2020, n. 178, art. 1, comma 334, per la copertura di interventi legislativi finalizzati al riconoscimento del valore sociale ed economico dell’attività di cura non professionale svolta dal caregiver familiare, come definito dal comma 255 dell’articolo 1 della legge 27 dicembre 2017, n. 205) al capitolo 3538, piano gestionale 01 - Fondo per le non autosufficienze, per l’importo di euro 62.500.000,00 per l’annualità 2025;</w:t>
      </w:r>
    </w:p>
    <w:p w14:paraId="68148357" w14:textId="369F37E6" w:rsidR="00944F0F" w:rsidRPr="009A7CD7" w:rsidRDefault="00944F0F" w:rsidP="00944F0F">
      <w:pPr>
        <w:spacing w:after="120"/>
        <w:jc w:val="both"/>
        <w:rPr>
          <w:bCs/>
        </w:rPr>
      </w:pPr>
      <w:r w:rsidRPr="00BA2CD0">
        <w:rPr>
          <w:b/>
        </w:rPr>
        <w:t>VISTO</w:t>
      </w:r>
      <w:r w:rsidRPr="00BA2CD0">
        <w:rPr>
          <w:bCs/>
        </w:rPr>
        <w:t xml:space="preserve"> il DMT n. 239688 del 3 dicembre 2025, </w:t>
      </w:r>
      <w:r w:rsidR="00EB4C9B" w:rsidRPr="00BA2CD0">
        <w:rPr>
          <w:bCs/>
        </w:rPr>
        <w:t xml:space="preserve">registrato alla Corte dei conti il 17 dicembre 2025, n. registrazione 1935, </w:t>
      </w:r>
      <w:r w:rsidRPr="00BA2CD0">
        <w:rPr>
          <w:bCs/>
        </w:rPr>
        <w:t>concernente la variazione compensativa in termini di cassa e competenza dal capitolo 3555 al capitolo 3538</w:t>
      </w:r>
      <w:r w:rsidR="00940814" w:rsidRPr="00BA2CD0">
        <w:rPr>
          <w:bCs/>
        </w:rPr>
        <w:t>,</w:t>
      </w:r>
      <w:r w:rsidRPr="00BA2CD0">
        <w:rPr>
          <w:bCs/>
        </w:rPr>
        <w:t xml:space="preserve"> per euro 62.500.000,00 per l’esercizio finanziario 2025;</w:t>
      </w:r>
    </w:p>
    <w:p w14:paraId="671A9FFF" w14:textId="1EB39962" w:rsidR="00944F0F" w:rsidRPr="009A7CD7" w:rsidRDefault="00944F0F" w:rsidP="001B4D50">
      <w:pPr>
        <w:spacing w:after="120"/>
        <w:jc w:val="both"/>
        <w:rPr>
          <w:b/>
          <w:bCs/>
        </w:rPr>
      </w:pPr>
      <w:r w:rsidRPr="009A7CD7">
        <w:rPr>
          <w:b/>
        </w:rPr>
        <w:t xml:space="preserve">CONSIDERATO </w:t>
      </w:r>
      <w:r w:rsidRPr="009A7CD7">
        <w:rPr>
          <w:bCs/>
        </w:rPr>
        <w:t>che</w:t>
      </w:r>
      <w:r w:rsidR="00940814">
        <w:rPr>
          <w:bCs/>
        </w:rPr>
        <w:t>,</w:t>
      </w:r>
      <w:r w:rsidRPr="009A7CD7">
        <w:rPr>
          <w:bCs/>
        </w:rPr>
        <w:t xml:space="preserve"> alla luce della variazione richiamata innanzi, </w:t>
      </w:r>
      <w:r w:rsidRPr="00940814">
        <w:rPr>
          <w:bCs/>
        </w:rPr>
        <w:t>la somma disponibile, afferente al Fondo per le non autosufficienze, è rideterminata in euro 982.255.000,00 per l</w:t>
      </w:r>
      <w:r w:rsidRPr="009A7CD7">
        <w:rPr>
          <w:bCs/>
        </w:rPr>
        <w:t>’annualità 2025;</w:t>
      </w:r>
    </w:p>
    <w:p w14:paraId="42C7891F" w14:textId="292848A5" w:rsidR="00981E28" w:rsidRPr="009A7CD7" w:rsidRDefault="00981E28" w:rsidP="00A11D21">
      <w:pPr>
        <w:spacing w:before="120"/>
        <w:jc w:val="both"/>
        <w:rPr>
          <w:bCs/>
        </w:rPr>
      </w:pPr>
      <w:r w:rsidRPr="009A7CD7">
        <w:rPr>
          <w:b/>
        </w:rPr>
        <w:lastRenderedPageBreak/>
        <w:t>VISTO</w:t>
      </w:r>
      <w:r w:rsidRPr="009A7CD7">
        <w:rPr>
          <w:bCs/>
        </w:rPr>
        <w:t xml:space="preserve"> il comma 1 dell’articolo 89 del decreto-legge 19 maggio 2020, n. 34, convertito dalla legge 17 luglio 2020, n. 77, ove si prevede che: “Ai fini della rendicontazione da parte di regioni, ambiti territoriali e comuni al Ministero del lavoro e delle politiche sociali dell’utilizzo delle risorse del Fondo nazionale per le politiche sociali di cui all’articolo 59, comma 44, della legge 27 dicembre 1997, n. 449, del Fondo nazionale per le non autosufficienze di cui all’articolo 1, comma 1264, della legge 27 dicembre 2006, n. 296, del Fondo per l’assistenza alle persone con disabilità prive di sostegno familiare di cui all’articolo 3, comma 1, della legge 22 giugno 2016, n. 112, del Fondo nazionale per l’infanzia e l’adolescenza di cui all’articolo 1 della legge 28 agosto 1997, n. 285, la rendicontazione del 75% della quota relativa alla seconda annualità precedente è condizione sufficiente alla erogazione della quota annuale di spettanza, ferma restando la verifica da parte dello stesso Ministero del lavoro e delle politiche sociali della coerenza degli utilizzi con le norme e gli atti di programmazione. Le eventuali somme relative alla seconda annualità precedente non rendicontate devono comunque essere esposte entro la successiva erogazione”;</w:t>
      </w:r>
    </w:p>
    <w:p w14:paraId="234494F1" w14:textId="457BEBB6" w:rsidR="00981E28" w:rsidRPr="009A7CD7" w:rsidRDefault="00981E28" w:rsidP="00A11D21">
      <w:pPr>
        <w:spacing w:before="120"/>
        <w:jc w:val="both"/>
      </w:pPr>
      <w:r w:rsidRPr="009A7CD7">
        <w:rPr>
          <w:b/>
          <w:bCs/>
        </w:rPr>
        <w:t>VISTO</w:t>
      </w:r>
      <w:r w:rsidRPr="009A7CD7">
        <w:t xml:space="preserve"> l’</w:t>
      </w:r>
      <w:r w:rsidR="00F42C81" w:rsidRPr="009A7CD7">
        <w:t xml:space="preserve">allegato </w:t>
      </w:r>
      <w:r w:rsidRPr="009A7CD7">
        <w:t xml:space="preserve">atto di programmazione </w:t>
      </w:r>
      <w:r w:rsidR="009468C6" w:rsidRPr="009A7CD7">
        <w:t>pluriennale “</w:t>
      </w:r>
      <w:r w:rsidRPr="009A7CD7">
        <w:t>Piano nazionale per la non autosufficienza</w:t>
      </w:r>
      <w:r w:rsidR="009468C6" w:rsidRPr="009A7CD7">
        <w:t>”</w:t>
      </w:r>
      <w:r w:rsidRPr="009A7CD7">
        <w:t xml:space="preserve"> e</w:t>
      </w:r>
      <w:r w:rsidR="00A11D21" w:rsidRPr="009A7CD7">
        <w:t xml:space="preserve"> </w:t>
      </w:r>
      <w:r w:rsidRPr="009A7CD7">
        <w:t xml:space="preserve">la ripartizione delle risorse assegnate al Fondo per le non autosufficienze, per il triennio 2025-2027, approvato dalla Rete della protezione e dell’inclusione sociale ai sensi dell’articolo 21 del decreto legislativo n. 147/2017 nella seduta del 4 dicembre 2025; </w:t>
      </w:r>
    </w:p>
    <w:p w14:paraId="3D75AE9B" w14:textId="7A8D0D70" w:rsidR="003B0315" w:rsidRPr="009A7CD7" w:rsidRDefault="003B0315" w:rsidP="00A11D21">
      <w:pPr>
        <w:spacing w:before="120" w:after="120"/>
        <w:jc w:val="both"/>
      </w:pPr>
      <w:r w:rsidRPr="009A7CD7">
        <w:rPr>
          <w:b/>
          <w:bCs/>
        </w:rPr>
        <w:t>RITENUTO</w:t>
      </w:r>
      <w:r w:rsidR="00BB0AAF" w:rsidRPr="009A7CD7">
        <w:t>,</w:t>
      </w:r>
      <w:r w:rsidRPr="009A7CD7">
        <w:rPr>
          <w:b/>
          <w:bCs/>
        </w:rPr>
        <w:t xml:space="preserve"> </w:t>
      </w:r>
      <w:r w:rsidRPr="009A7CD7">
        <w:t>pertanto</w:t>
      </w:r>
      <w:r w:rsidR="00BB0AAF" w:rsidRPr="009A7CD7">
        <w:t>,</w:t>
      </w:r>
      <w:r w:rsidRPr="009A7CD7">
        <w:rPr>
          <w:b/>
          <w:bCs/>
        </w:rPr>
        <w:t xml:space="preserve"> </w:t>
      </w:r>
      <w:r w:rsidRPr="009A7CD7">
        <w:rPr>
          <w:bCs/>
        </w:rPr>
        <w:t xml:space="preserve">di </w:t>
      </w:r>
      <w:r w:rsidRPr="009A7CD7">
        <w:t>provvedere</w:t>
      </w:r>
      <w:r w:rsidR="00981E28" w:rsidRPr="009A7CD7">
        <w:t>,</w:t>
      </w:r>
      <w:r w:rsidR="00BB0AAF" w:rsidRPr="009A7CD7">
        <w:t xml:space="preserve"> </w:t>
      </w:r>
      <w:r w:rsidR="00981E28" w:rsidRPr="009A7CD7">
        <w:t xml:space="preserve">con un unico decreto, </w:t>
      </w:r>
      <w:r w:rsidRPr="009A7CD7">
        <w:t xml:space="preserve">all’adozione del </w:t>
      </w:r>
      <w:bookmarkStart w:id="1" w:name="_Hlk216125206"/>
      <w:r w:rsidRPr="009A7CD7">
        <w:t xml:space="preserve">Piano </w:t>
      </w:r>
      <w:r w:rsidRPr="009A7CD7">
        <w:rPr>
          <w:bCs/>
        </w:rPr>
        <w:t xml:space="preserve">nazionale </w:t>
      </w:r>
      <w:r w:rsidRPr="009A7CD7">
        <w:t>per la</w:t>
      </w:r>
      <w:r w:rsidR="00BB0AAF" w:rsidRPr="009A7CD7">
        <w:t xml:space="preserve"> </w:t>
      </w:r>
      <w:r w:rsidRPr="009A7CD7">
        <w:t>non autosufficienza e alla ripartizione</w:t>
      </w:r>
      <w:r w:rsidR="00981E28" w:rsidRPr="009A7CD7">
        <w:t xml:space="preserve"> delle risorse stanziate sul capitolo di spesa </w:t>
      </w:r>
      <w:r w:rsidR="00944F0F" w:rsidRPr="009A7CD7">
        <w:t xml:space="preserve">3538 </w:t>
      </w:r>
      <w:r w:rsidR="00981E28" w:rsidRPr="009A7CD7">
        <w:t xml:space="preserve">“Fondo </w:t>
      </w:r>
      <w:r w:rsidR="00944F0F" w:rsidRPr="009A7CD7">
        <w:t>per le non autosufficienze</w:t>
      </w:r>
      <w:r w:rsidR="00981E28" w:rsidRPr="009A7CD7">
        <w:t>”</w:t>
      </w:r>
      <w:r w:rsidR="00944F0F" w:rsidRPr="009A7CD7">
        <w:t>,</w:t>
      </w:r>
      <w:r w:rsidRPr="009A7CD7">
        <w:t xml:space="preserve"> </w:t>
      </w:r>
      <w:r w:rsidRPr="009A7CD7">
        <w:rPr>
          <w:bCs/>
        </w:rPr>
        <w:t>per il triennio 202</w:t>
      </w:r>
      <w:r w:rsidR="00184A65" w:rsidRPr="009A7CD7">
        <w:rPr>
          <w:bCs/>
        </w:rPr>
        <w:t>5</w:t>
      </w:r>
      <w:r w:rsidRPr="009A7CD7">
        <w:rPr>
          <w:bCs/>
        </w:rPr>
        <w:t>-202</w:t>
      </w:r>
      <w:r w:rsidR="00184A65" w:rsidRPr="009A7CD7">
        <w:rPr>
          <w:bCs/>
        </w:rPr>
        <w:t>7</w:t>
      </w:r>
      <w:r w:rsidRPr="009A7CD7">
        <w:t>;</w:t>
      </w:r>
    </w:p>
    <w:bookmarkEnd w:id="1"/>
    <w:p w14:paraId="6FA37A7D" w14:textId="1A5D4D9B" w:rsidR="008171ED" w:rsidRPr="00BA2CD0" w:rsidRDefault="003B0315" w:rsidP="008171ED">
      <w:pPr>
        <w:widowControl w:val="0"/>
        <w:autoSpaceDE w:val="0"/>
        <w:autoSpaceDN w:val="0"/>
        <w:spacing w:after="120"/>
        <w:ind w:right="3"/>
        <w:jc w:val="both"/>
        <w:rPr>
          <w:rFonts w:cstheme="minorHAnsi"/>
          <w:b/>
          <w:bCs/>
        </w:rPr>
      </w:pPr>
      <w:r w:rsidRPr="00BA2CD0">
        <w:rPr>
          <w:b/>
        </w:rPr>
        <w:t>ACCERTATA</w:t>
      </w:r>
      <w:r w:rsidRPr="00BA2CD0">
        <w:t xml:space="preserve"> la disponibilità finanziaria sul capitolo 3538, dello stato di previsione del Ministero del </w:t>
      </w:r>
      <w:r w:rsidR="00450DD8" w:rsidRPr="00BA2CD0">
        <w:t>l</w:t>
      </w:r>
      <w:r w:rsidRPr="00BA2CD0">
        <w:t xml:space="preserve">avoro e delle </w:t>
      </w:r>
      <w:r w:rsidR="00450DD8" w:rsidRPr="00BA2CD0">
        <w:t>p</w:t>
      </w:r>
      <w:r w:rsidRPr="00BA2CD0">
        <w:t xml:space="preserve">olitiche </w:t>
      </w:r>
      <w:r w:rsidR="00450DD8" w:rsidRPr="00BA2CD0">
        <w:t>s</w:t>
      </w:r>
      <w:r w:rsidRPr="00BA2CD0">
        <w:t xml:space="preserve">ociali, </w:t>
      </w:r>
      <w:r w:rsidR="00EB4C9B" w:rsidRPr="00BA2CD0">
        <w:t>in conto residui per il 2025 e in conto competenza per il 2026 e 2027</w:t>
      </w:r>
      <w:r w:rsidR="00472592" w:rsidRPr="00BA2CD0">
        <w:t>;</w:t>
      </w:r>
      <w:r w:rsidR="008171ED" w:rsidRPr="00BA2CD0">
        <w:rPr>
          <w:rFonts w:cstheme="minorHAnsi"/>
          <w:b/>
          <w:bCs/>
        </w:rPr>
        <w:t xml:space="preserve"> </w:t>
      </w:r>
    </w:p>
    <w:p w14:paraId="542DDF89" w14:textId="3B1BF27D" w:rsidR="008171ED" w:rsidRPr="00A67AC0" w:rsidRDefault="008171ED" w:rsidP="008171ED">
      <w:pPr>
        <w:widowControl w:val="0"/>
        <w:autoSpaceDE w:val="0"/>
        <w:autoSpaceDN w:val="0"/>
        <w:spacing w:after="120"/>
        <w:ind w:right="3"/>
        <w:jc w:val="both"/>
        <w:rPr>
          <w:rFonts w:cstheme="minorHAnsi"/>
          <w:bCs/>
        </w:rPr>
      </w:pPr>
      <w:r w:rsidRPr="00A67AC0">
        <w:rPr>
          <w:rFonts w:cstheme="minorHAnsi"/>
          <w:b/>
          <w:bCs/>
        </w:rPr>
        <w:t>VISTO</w:t>
      </w:r>
      <w:r w:rsidRPr="00A67AC0">
        <w:rPr>
          <w:rFonts w:cstheme="minorHAnsi"/>
          <w:bCs/>
        </w:rPr>
        <w:t xml:space="preserve"> l’articolo 1 della legge 30 dicembre 2025, n. 199 “Bilancio di previsione dello Stato per l’anno finanziario 2026 e bilancio pluriennale 2026-2028”, e in particolare il comma 699 che ha istituito un Sistema di garanzia dei livelli essenziali delle prestazioni nel settore sociale, determinato in ciascun ambito territoriale sociale (ATS), quale livello di spesa necessario a garantire progressivamente, a partire dal 2027, i livelli essenziali delle prestazioni sociali,</w:t>
      </w:r>
      <w:r w:rsidR="00EE6306" w:rsidRPr="00A67AC0">
        <w:rPr>
          <w:rFonts w:cstheme="minorHAnsi"/>
          <w:bCs/>
        </w:rPr>
        <w:t xml:space="preserve"> </w:t>
      </w:r>
      <w:r w:rsidRPr="00A67AC0">
        <w:rPr>
          <w:rFonts w:cstheme="minorHAnsi"/>
          <w:bCs/>
        </w:rPr>
        <w:t>compresi</w:t>
      </w:r>
      <w:r w:rsidR="00EE6306" w:rsidRPr="00A67AC0">
        <w:rPr>
          <w:rFonts w:cstheme="minorHAnsi"/>
          <w:bCs/>
        </w:rPr>
        <w:t xml:space="preserve"> </w:t>
      </w:r>
      <w:r w:rsidRPr="00A67AC0">
        <w:rPr>
          <w:rFonts w:cstheme="minorHAnsi"/>
          <w:bCs/>
        </w:rPr>
        <w:t>quelli di cui all</w:t>
      </w:r>
      <w:r w:rsidR="00EE6306" w:rsidRPr="00A67AC0">
        <w:rPr>
          <w:rFonts w:cstheme="minorHAnsi"/>
          <w:bCs/>
        </w:rPr>
        <w:t>’</w:t>
      </w:r>
      <w:r w:rsidRPr="00A67AC0">
        <w:rPr>
          <w:rFonts w:cstheme="minorHAnsi"/>
          <w:bCs/>
        </w:rPr>
        <w:t>articolo 1, commi 162 e 163</w:t>
      </w:r>
      <w:r w:rsidR="00EE6306" w:rsidRPr="00A67AC0">
        <w:rPr>
          <w:rFonts w:cstheme="minorHAnsi"/>
          <w:bCs/>
        </w:rPr>
        <w:t>,</w:t>
      </w:r>
      <w:r w:rsidRPr="00A67AC0">
        <w:rPr>
          <w:rFonts w:cstheme="minorHAnsi"/>
          <w:bCs/>
        </w:rPr>
        <w:t xml:space="preserve"> della legge 30 dicembre 2021, n. 234 e il comma 700 che alle lettere </w:t>
      </w:r>
      <w:r w:rsidRPr="00A67AC0">
        <w:rPr>
          <w:rFonts w:cstheme="minorHAnsi"/>
          <w:bCs/>
          <w:i/>
          <w:iCs/>
        </w:rPr>
        <w:t>a)</w:t>
      </w:r>
      <w:r w:rsidRPr="00A67AC0">
        <w:rPr>
          <w:rFonts w:cstheme="minorHAnsi"/>
          <w:bCs/>
        </w:rPr>
        <w:t xml:space="preserve">, </w:t>
      </w:r>
      <w:r w:rsidRPr="00A67AC0">
        <w:rPr>
          <w:rFonts w:cstheme="minorHAnsi"/>
          <w:bCs/>
          <w:i/>
          <w:iCs/>
        </w:rPr>
        <w:t>b)</w:t>
      </w:r>
      <w:r w:rsidRPr="00A67AC0">
        <w:rPr>
          <w:rFonts w:cstheme="minorHAnsi"/>
          <w:bCs/>
        </w:rPr>
        <w:t xml:space="preserve"> e </w:t>
      </w:r>
      <w:r w:rsidRPr="00A67AC0">
        <w:rPr>
          <w:rFonts w:cstheme="minorHAnsi"/>
          <w:bCs/>
          <w:i/>
          <w:iCs/>
        </w:rPr>
        <w:t>c)</w:t>
      </w:r>
      <w:r w:rsidRPr="00A67AC0">
        <w:rPr>
          <w:rFonts w:cstheme="minorHAnsi"/>
          <w:bCs/>
        </w:rPr>
        <w:t xml:space="preserve"> ha previsto ulteriori livelli essenziali delle prestazioni sociali;</w:t>
      </w:r>
    </w:p>
    <w:p w14:paraId="3AE472FB" w14:textId="77777777" w:rsidR="00EE6306" w:rsidRPr="00A67AC0" w:rsidRDefault="00EE6306" w:rsidP="008171ED">
      <w:pPr>
        <w:widowControl w:val="0"/>
        <w:autoSpaceDE w:val="0"/>
        <w:autoSpaceDN w:val="0"/>
        <w:spacing w:after="120"/>
        <w:ind w:right="3"/>
        <w:jc w:val="both"/>
        <w:rPr>
          <w:rFonts w:cstheme="minorHAnsi"/>
          <w:b/>
          <w:bCs/>
        </w:rPr>
      </w:pPr>
    </w:p>
    <w:p w14:paraId="7EE5685A" w14:textId="3A32689F" w:rsidR="008171ED" w:rsidRPr="00A67AC0" w:rsidRDefault="008171ED" w:rsidP="008171ED">
      <w:pPr>
        <w:widowControl w:val="0"/>
        <w:autoSpaceDE w:val="0"/>
        <w:autoSpaceDN w:val="0"/>
        <w:spacing w:after="120"/>
        <w:ind w:right="3"/>
        <w:jc w:val="both"/>
        <w:rPr>
          <w:rFonts w:cstheme="minorHAnsi"/>
          <w:bCs/>
        </w:rPr>
      </w:pPr>
      <w:r w:rsidRPr="00A67AC0">
        <w:rPr>
          <w:rFonts w:cstheme="minorHAnsi"/>
          <w:b/>
          <w:bCs/>
        </w:rPr>
        <w:t>VISTO</w:t>
      </w:r>
      <w:r w:rsidRPr="00A67AC0">
        <w:rPr>
          <w:rFonts w:cstheme="minorHAnsi"/>
          <w:bCs/>
        </w:rPr>
        <w:t xml:space="preserve"> altresì il comma 701 del medesimo articolo 1, il quale prevede che con decreto del Presidente del Consiglio dei ministri, da adottare di concerto con il Ministro del lavoro e delle politiche sociali e con il Ministro dell’economia e delle finanze, previa intesa in sede di Conferenza unificata, sono determinati entro il 30 giugno 2026 i livelli di spesa di riferimento per ogni ATS, pari all’ammontare della somma dei fabbisogni standard monetari dei singoli comuni componenti l’ATS nonché i criteri e gli obiettivi delle prestazioni di cui al comma 700 e sono individuati, in via progressiva, i criteri di riparto delle risorse che tengano conto degli effettivi beneficiari delle prestazioni e dei fabbisogni reali dei territori;</w:t>
      </w:r>
    </w:p>
    <w:p w14:paraId="41E13FE1" w14:textId="4FF36BB4" w:rsidR="008171ED" w:rsidRPr="009A7CD7" w:rsidRDefault="008171ED" w:rsidP="008171ED">
      <w:pPr>
        <w:widowControl w:val="0"/>
        <w:autoSpaceDE w:val="0"/>
        <w:autoSpaceDN w:val="0"/>
        <w:spacing w:after="120"/>
        <w:ind w:right="3"/>
        <w:jc w:val="both"/>
        <w:rPr>
          <w:rFonts w:cstheme="minorHAnsi"/>
          <w:bCs/>
        </w:rPr>
      </w:pPr>
      <w:r w:rsidRPr="00A67AC0">
        <w:rPr>
          <w:rFonts w:cstheme="minorHAnsi"/>
          <w:b/>
          <w:bCs/>
        </w:rPr>
        <w:t>TENUTO CONTO CHE</w:t>
      </w:r>
      <w:r w:rsidRPr="00A67AC0">
        <w:rPr>
          <w:rFonts w:cstheme="minorHAnsi"/>
          <w:bCs/>
        </w:rPr>
        <w:t xml:space="preserve"> al comma 705 del medesimo articolo 1 viene disposto che al finanziamento del </w:t>
      </w:r>
      <w:r w:rsidR="00C44534" w:rsidRPr="00A67AC0">
        <w:rPr>
          <w:rFonts w:cstheme="minorHAnsi"/>
          <w:bCs/>
        </w:rPr>
        <w:t xml:space="preserve">Sistema di garanzia dei livelli essenziali delle prestazioni nel settore sociale </w:t>
      </w:r>
      <w:r w:rsidRPr="00A67AC0">
        <w:rPr>
          <w:rFonts w:cstheme="minorHAnsi"/>
          <w:bCs/>
        </w:rPr>
        <w:t>di cui al comma 700 dello stesso articolo, ad esclusione della lettera b), concorrono gli stanziamenti previsti a legislazione vigente destinati alle finalità di cui ai commi 162, 163, 169 e 170 dell’articolo 1 della legge 30 dicembre 2021, n. 234;</w:t>
      </w:r>
    </w:p>
    <w:p w14:paraId="2A99E0F9" w14:textId="5791E69E" w:rsidR="00476E16" w:rsidRPr="009A7CD7" w:rsidRDefault="00476E16" w:rsidP="001B4D50">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Calibri"/>
        </w:rPr>
      </w:pPr>
      <w:r w:rsidRPr="006E4F9B">
        <w:rPr>
          <w:rFonts w:eastAsia="Calibri"/>
          <w:b/>
          <w:bCs/>
        </w:rPr>
        <w:t>ACQUISITO</w:t>
      </w:r>
      <w:r w:rsidRPr="006E4F9B">
        <w:rPr>
          <w:rFonts w:eastAsia="Calibri"/>
        </w:rPr>
        <w:t xml:space="preserve"> il parere della Commissione tecnica per i fabbisogni standard di cui all’articolo 1, comma 29, della legge 28 dicembre 2015, n. 208, espresso in data</w:t>
      </w:r>
      <w:r w:rsidR="00D627BF" w:rsidRPr="006E4F9B">
        <w:rPr>
          <w:rFonts w:eastAsia="Calibri"/>
        </w:rPr>
        <w:t xml:space="preserve"> </w:t>
      </w:r>
      <w:r w:rsidR="006E4F9B" w:rsidRPr="006E4F9B">
        <w:rPr>
          <w:rFonts w:eastAsia="Calibri"/>
        </w:rPr>
        <w:t>28 gennaio 2026</w:t>
      </w:r>
      <w:r w:rsidR="0013430D" w:rsidRPr="006E4F9B">
        <w:rPr>
          <w:rFonts w:eastAsia="Calibri"/>
        </w:rPr>
        <w:t>;</w:t>
      </w:r>
    </w:p>
    <w:p w14:paraId="6660B385" w14:textId="42ADEACB" w:rsidR="00795CF7" w:rsidRPr="009A7CD7" w:rsidRDefault="003B0315" w:rsidP="008A1AA0">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r w:rsidRPr="009A7CD7">
        <w:rPr>
          <w:b/>
          <w:bCs/>
        </w:rPr>
        <w:t xml:space="preserve">ACQUISITA </w:t>
      </w:r>
      <w:r w:rsidRPr="009A7CD7">
        <w:t xml:space="preserve">l’intesa della Conferenza unificata di cui al decreto legislativo 28 agosto 1997, n. 281, </w:t>
      </w:r>
      <w:r w:rsidR="00A75C48" w:rsidRPr="009A7CD7">
        <w:t>sancita</w:t>
      </w:r>
      <w:r w:rsidRPr="009A7CD7">
        <w:t xml:space="preserve"> nella seduta </w:t>
      </w:r>
      <w:r w:rsidRPr="009A7CD7">
        <w:rPr>
          <w:rFonts w:eastAsia="Calibri"/>
        </w:rPr>
        <w:t xml:space="preserve">del </w:t>
      </w:r>
      <w:r w:rsidR="00D627BF" w:rsidRPr="00350A50">
        <w:rPr>
          <w:rFonts w:eastAsia="Calibri"/>
          <w:b/>
          <w:bCs/>
        </w:rPr>
        <w:t>[…]</w:t>
      </w:r>
      <w:r w:rsidR="00476E16" w:rsidRPr="009A7CD7">
        <w:rPr>
          <w:rFonts w:eastAsia="Calibri"/>
        </w:rPr>
        <w:t>;</w:t>
      </w:r>
    </w:p>
    <w:p w14:paraId="49DC4236" w14:textId="77777777" w:rsidR="00472592" w:rsidRPr="009A7CD7" w:rsidRDefault="00472592" w:rsidP="00476E16">
      <w:pPr>
        <w:jc w:val="center"/>
        <w:rPr>
          <w:b/>
          <w:bCs/>
        </w:rPr>
      </w:pPr>
    </w:p>
    <w:p w14:paraId="214CE38A" w14:textId="11BAE47D" w:rsidR="003B0315" w:rsidRPr="009A7CD7" w:rsidRDefault="003B0315" w:rsidP="00476E16">
      <w:pPr>
        <w:jc w:val="center"/>
        <w:rPr>
          <w:b/>
          <w:bCs/>
        </w:rPr>
      </w:pPr>
      <w:r w:rsidRPr="009A7CD7">
        <w:rPr>
          <w:b/>
          <w:bCs/>
        </w:rPr>
        <w:t>D</w:t>
      </w:r>
      <w:r w:rsidR="00476E16" w:rsidRPr="009A7CD7">
        <w:rPr>
          <w:b/>
          <w:bCs/>
        </w:rPr>
        <w:t xml:space="preserve"> </w:t>
      </w:r>
      <w:r w:rsidRPr="009A7CD7">
        <w:rPr>
          <w:b/>
          <w:bCs/>
        </w:rPr>
        <w:t>E</w:t>
      </w:r>
      <w:r w:rsidR="00476E16" w:rsidRPr="009A7CD7">
        <w:rPr>
          <w:b/>
          <w:bCs/>
        </w:rPr>
        <w:t xml:space="preserve"> </w:t>
      </w:r>
      <w:r w:rsidRPr="009A7CD7">
        <w:rPr>
          <w:b/>
          <w:bCs/>
        </w:rPr>
        <w:t>C</w:t>
      </w:r>
      <w:r w:rsidR="00476E16" w:rsidRPr="009A7CD7">
        <w:rPr>
          <w:b/>
          <w:bCs/>
        </w:rPr>
        <w:t xml:space="preserve"> </w:t>
      </w:r>
      <w:r w:rsidRPr="009A7CD7">
        <w:rPr>
          <w:b/>
          <w:bCs/>
        </w:rPr>
        <w:t>R</w:t>
      </w:r>
      <w:r w:rsidR="00476E16" w:rsidRPr="009A7CD7">
        <w:rPr>
          <w:b/>
          <w:bCs/>
        </w:rPr>
        <w:t xml:space="preserve"> </w:t>
      </w:r>
      <w:r w:rsidRPr="009A7CD7">
        <w:rPr>
          <w:b/>
          <w:bCs/>
        </w:rPr>
        <w:t>E</w:t>
      </w:r>
      <w:r w:rsidR="00476E16" w:rsidRPr="009A7CD7">
        <w:rPr>
          <w:b/>
          <w:bCs/>
        </w:rPr>
        <w:t xml:space="preserve"> </w:t>
      </w:r>
      <w:r w:rsidRPr="009A7CD7">
        <w:rPr>
          <w:b/>
          <w:bCs/>
        </w:rPr>
        <w:t>T</w:t>
      </w:r>
      <w:r w:rsidR="00476E16" w:rsidRPr="009A7CD7">
        <w:rPr>
          <w:b/>
          <w:bCs/>
        </w:rPr>
        <w:t xml:space="preserve"> </w:t>
      </w:r>
      <w:r w:rsidRPr="009A7CD7">
        <w:rPr>
          <w:b/>
          <w:bCs/>
        </w:rPr>
        <w:t>A</w:t>
      </w:r>
    </w:p>
    <w:p w14:paraId="1DC1DE9B" w14:textId="590E7CC5" w:rsidR="003B0315" w:rsidRPr="009A7CD7" w:rsidRDefault="003B0315" w:rsidP="00476E16">
      <w:pPr>
        <w:jc w:val="center"/>
        <w:rPr>
          <w:bCs/>
        </w:rPr>
      </w:pPr>
    </w:p>
    <w:p w14:paraId="4F4BB86E" w14:textId="77777777" w:rsidR="00AF707C" w:rsidRPr="009A7CD7" w:rsidRDefault="00AF707C" w:rsidP="00476E16">
      <w:pPr>
        <w:jc w:val="center"/>
        <w:rPr>
          <w:b/>
        </w:rPr>
      </w:pPr>
      <w:r w:rsidRPr="009A7CD7">
        <w:rPr>
          <w:b/>
        </w:rPr>
        <w:t>Articolo 1</w:t>
      </w:r>
    </w:p>
    <w:p w14:paraId="26EF41CF" w14:textId="77777777" w:rsidR="00AF707C" w:rsidRPr="009A7CD7" w:rsidRDefault="00AF707C" w:rsidP="00476E16">
      <w:pPr>
        <w:tabs>
          <w:tab w:val="left" w:pos="3780"/>
        </w:tabs>
        <w:spacing w:after="120"/>
        <w:jc w:val="center"/>
        <w:rPr>
          <w:i/>
          <w:iCs/>
        </w:rPr>
      </w:pPr>
      <w:r w:rsidRPr="009A7CD7">
        <w:rPr>
          <w:i/>
          <w:iCs/>
        </w:rPr>
        <w:t>(</w:t>
      </w:r>
      <w:r w:rsidRPr="009A7CD7">
        <w:rPr>
          <w:rFonts w:eastAsia="Calibri"/>
          <w:i/>
          <w:iCs/>
          <w:lang w:eastAsia="en-US"/>
        </w:rPr>
        <w:t>Piano nazionale per la non autosufficienza</w:t>
      </w:r>
      <w:r w:rsidRPr="009A7CD7">
        <w:rPr>
          <w:i/>
          <w:iCs/>
        </w:rPr>
        <w:t>)</w:t>
      </w:r>
    </w:p>
    <w:p w14:paraId="43BC609D" w14:textId="46727AFD" w:rsidR="00AF707C" w:rsidRPr="009A7CD7" w:rsidRDefault="0082690C" w:rsidP="0082690C">
      <w:pPr>
        <w:spacing w:after="160"/>
        <w:contextualSpacing/>
        <w:jc w:val="both"/>
        <w:rPr>
          <w:bCs/>
        </w:rPr>
      </w:pPr>
      <w:r w:rsidRPr="009A7CD7">
        <w:rPr>
          <w:bCs/>
        </w:rPr>
        <w:t xml:space="preserve">1. </w:t>
      </w:r>
      <w:r w:rsidR="00A11D21" w:rsidRPr="009A7CD7">
        <w:rPr>
          <w:bCs/>
        </w:rPr>
        <w:t>È</w:t>
      </w:r>
      <w:r w:rsidR="00AF707C" w:rsidRPr="009A7CD7">
        <w:rPr>
          <w:bCs/>
        </w:rPr>
        <w:t xml:space="preserve"> adottato il Piano nazionale per la non autosufficienza, relativo al triennio 2025-2027, di cui all’allegato A che costituisce parte integrante del presente decreto.</w:t>
      </w:r>
    </w:p>
    <w:p w14:paraId="0E1818BB" w14:textId="5E1608B7" w:rsidR="00A826BC" w:rsidRPr="009A7CD7" w:rsidRDefault="0082690C" w:rsidP="00A826BC">
      <w:pPr>
        <w:spacing w:after="160"/>
        <w:contextualSpacing/>
        <w:jc w:val="both"/>
        <w:rPr>
          <w:bCs/>
        </w:rPr>
      </w:pPr>
      <w:r w:rsidRPr="009A7CD7">
        <w:rPr>
          <w:rFonts w:eastAsia="Calibri"/>
          <w:bCs/>
          <w:lang w:eastAsia="en-US"/>
        </w:rPr>
        <w:t xml:space="preserve">2. </w:t>
      </w:r>
      <w:r w:rsidR="00AF707C" w:rsidRPr="009A7CD7">
        <w:rPr>
          <w:rFonts w:eastAsia="Calibri"/>
          <w:bCs/>
          <w:lang w:eastAsia="en-US"/>
        </w:rPr>
        <w:t>Il Piano di cui al comma 1 costituisce l’atto di programmazione nazionale</w:t>
      </w:r>
      <w:r w:rsidR="006062FD">
        <w:rPr>
          <w:rFonts w:eastAsia="Calibri"/>
          <w:bCs/>
          <w:lang w:eastAsia="en-US"/>
        </w:rPr>
        <w:t>,</w:t>
      </w:r>
      <w:r w:rsidR="00AF707C" w:rsidRPr="009A7CD7">
        <w:rPr>
          <w:rFonts w:eastAsia="Calibri"/>
          <w:bCs/>
          <w:lang w:eastAsia="en-US"/>
        </w:rPr>
        <w:t xml:space="preserve"> </w:t>
      </w:r>
      <w:r w:rsidR="00954FE8" w:rsidRPr="009A7CD7">
        <w:rPr>
          <w:rFonts w:eastAsia="Calibri"/>
          <w:bCs/>
          <w:lang w:eastAsia="en-US"/>
        </w:rPr>
        <w:t>pluriennale</w:t>
      </w:r>
      <w:r w:rsidR="006062FD">
        <w:rPr>
          <w:rFonts w:eastAsia="Calibri"/>
          <w:bCs/>
          <w:lang w:eastAsia="en-US"/>
        </w:rPr>
        <w:t>,</w:t>
      </w:r>
      <w:r w:rsidR="00954FE8" w:rsidRPr="009A7CD7">
        <w:rPr>
          <w:rFonts w:eastAsia="Calibri"/>
          <w:bCs/>
          <w:lang w:eastAsia="en-US"/>
        </w:rPr>
        <w:t xml:space="preserve"> </w:t>
      </w:r>
      <w:r w:rsidR="00AF707C" w:rsidRPr="009A7CD7">
        <w:rPr>
          <w:rFonts w:eastAsia="Calibri"/>
          <w:bCs/>
          <w:lang w:eastAsia="en-US"/>
        </w:rPr>
        <w:t>delle risorse afferenti al Fondo per le non autosufficienze e individua, nel limite di tali risorse, lo sviluppo degli interventi ai fini della graduale attuazione degli obiettivi di servizio delle prestazioni sociali da poter raggiungere su tutto il territorio nazionale</w:t>
      </w:r>
      <w:r w:rsidR="00A826BC" w:rsidRPr="009A7CD7">
        <w:rPr>
          <w:rFonts w:eastAsia="Calibri"/>
          <w:bCs/>
          <w:lang w:eastAsia="en-US"/>
        </w:rPr>
        <w:t xml:space="preserve">, in continuità </w:t>
      </w:r>
      <w:r w:rsidR="004C65D9" w:rsidRPr="009A7CD7">
        <w:rPr>
          <w:rFonts w:eastAsia="Calibri"/>
          <w:bCs/>
          <w:lang w:eastAsia="en-US"/>
        </w:rPr>
        <w:t>con</w:t>
      </w:r>
      <w:r w:rsidR="00F93385" w:rsidRPr="009A7CD7">
        <w:rPr>
          <w:rFonts w:eastAsia="Calibri"/>
          <w:bCs/>
          <w:lang w:eastAsia="en-US"/>
        </w:rPr>
        <w:t xml:space="preserve"> quanto </w:t>
      </w:r>
      <w:r w:rsidR="004B05C7" w:rsidRPr="009A7CD7">
        <w:rPr>
          <w:rFonts w:eastAsia="Calibri"/>
          <w:bCs/>
          <w:lang w:eastAsia="en-US"/>
        </w:rPr>
        <w:t xml:space="preserve">già </w:t>
      </w:r>
      <w:r w:rsidR="00F93385" w:rsidRPr="009A7CD7">
        <w:rPr>
          <w:rFonts w:eastAsia="Calibri"/>
          <w:bCs/>
          <w:lang w:eastAsia="en-US"/>
        </w:rPr>
        <w:t xml:space="preserve">previsto dal </w:t>
      </w:r>
      <w:r w:rsidR="00AF707C" w:rsidRPr="009A7CD7">
        <w:rPr>
          <w:rFonts w:eastAsia="Calibri"/>
          <w:bCs/>
          <w:lang w:eastAsia="en-US"/>
        </w:rPr>
        <w:t>precedente P</w:t>
      </w:r>
      <w:r w:rsidR="000463B6" w:rsidRPr="009A7CD7">
        <w:rPr>
          <w:rFonts w:eastAsia="Calibri"/>
          <w:bCs/>
          <w:lang w:eastAsia="en-US"/>
        </w:rPr>
        <w:t>iano</w:t>
      </w:r>
      <w:r w:rsidR="00AF707C" w:rsidRPr="009A7CD7">
        <w:rPr>
          <w:rFonts w:eastAsia="Calibri"/>
          <w:bCs/>
          <w:lang w:eastAsia="en-US"/>
        </w:rPr>
        <w:t xml:space="preserve"> </w:t>
      </w:r>
      <w:r w:rsidR="004B05C7" w:rsidRPr="009A7CD7">
        <w:rPr>
          <w:rFonts w:eastAsia="Calibri"/>
          <w:bCs/>
          <w:lang w:eastAsia="en-US"/>
        </w:rPr>
        <w:t xml:space="preserve">per il triennio </w:t>
      </w:r>
      <w:r w:rsidR="00AF707C" w:rsidRPr="009A7CD7">
        <w:rPr>
          <w:rFonts w:eastAsia="Calibri"/>
          <w:bCs/>
          <w:lang w:eastAsia="en-US"/>
        </w:rPr>
        <w:t>2022-2024.</w:t>
      </w:r>
    </w:p>
    <w:p w14:paraId="63042C8A" w14:textId="77777777" w:rsidR="001E30ED" w:rsidRPr="009A7CD7" w:rsidRDefault="00A826BC" w:rsidP="001E30ED">
      <w:pPr>
        <w:spacing w:after="160"/>
        <w:contextualSpacing/>
        <w:jc w:val="both"/>
        <w:rPr>
          <w:bCs/>
        </w:rPr>
      </w:pPr>
      <w:r w:rsidRPr="009A7CD7">
        <w:rPr>
          <w:bCs/>
        </w:rPr>
        <w:lastRenderedPageBreak/>
        <w:t xml:space="preserve">3. </w:t>
      </w:r>
      <w:r w:rsidR="00AF707C" w:rsidRPr="009A7CD7">
        <w:t>Sulla base delle indicazioni programmatiche del Piano di cui al comma 1, nel rispetto e nella valorizzazione delle modalità di confronto con le autonomie locali e favorendo la consultazione delle parti sociali e degli enti del Terzo settore territorialmente rappresentativi in materia di non autosufficienza, e comunque prevedendo il coinvolgimento delle organizzazioni di rappresentanza delle persone con disabilità in condizione di non autosufficienza</w:t>
      </w:r>
      <w:r w:rsidR="00AF707C" w:rsidRPr="009A7CD7">
        <w:rPr>
          <w:bCs/>
        </w:rPr>
        <w:t xml:space="preserve">, le regioni adottano un Piano regionale per la non autosufficienza, ovvero altro atto di programmazione regionale degli interventi e dei servizi necessari per l’attuazione del Piano nazionale, a valere sulle risorse di cui al presente decreto, eventualmente integrate con risorse proprie. </w:t>
      </w:r>
    </w:p>
    <w:p w14:paraId="66E6CD95" w14:textId="109D97A4" w:rsidR="00AF707C" w:rsidRPr="009A7CD7" w:rsidRDefault="001E30ED" w:rsidP="001E30ED">
      <w:pPr>
        <w:spacing w:after="160"/>
        <w:contextualSpacing/>
        <w:jc w:val="both"/>
        <w:rPr>
          <w:bCs/>
        </w:rPr>
      </w:pPr>
      <w:r w:rsidRPr="009A7CD7">
        <w:rPr>
          <w:bCs/>
        </w:rPr>
        <w:t xml:space="preserve">4. </w:t>
      </w:r>
      <w:r w:rsidR="00AF707C" w:rsidRPr="009A7CD7">
        <w:rPr>
          <w:bCs/>
        </w:rPr>
        <w:t>Il Piano regionale, ovvero l’atto di programmazione regionale, individua in particolare, su base triennale</w:t>
      </w:r>
      <w:r w:rsidR="00D43BA8" w:rsidRPr="009A7CD7">
        <w:rPr>
          <w:bCs/>
        </w:rPr>
        <w:t>,</w:t>
      </w:r>
      <w:r w:rsidR="00AF707C" w:rsidRPr="009A7CD7">
        <w:rPr>
          <w:bCs/>
        </w:rPr>
        <w:t xml:space="preserve"> gli specifici interventi e servizi sociali per la non autosufficienza finanziabili a valere sulle risorse del Fondo per le non autosufficienze, di cui all’articolo 2</w:t>
      </w:r>
      <w:r w:rsidR="00DB2005" w:rsidRPr="009A7CD7">
        <w:rPr>
          <w:bCs/>
        </w:rPr>
        <w:t xml:space="preserve"> del presente decreto</w:t>
      </w:r>
      <w:r w:rsidR="00AF707C" w:rsidRPr="009A7CD7">
        <w:rPr>
          <w:bCs/>
        </w:rPr>
        <w:t>.</w:t>
      </w:r>
      <w:r w:rsidR="00AF707C" w:rsidRPr="009A7CD7">
        <w:t xml:space="preserve"> </w:t>
      </w:r>
      <w:r w:rsidR="00AF707C" w:rsidRPr="009A7CD7">
        <w:rPr>
          <w:bCs/>
        </w:rPr>
        <w:t>Il Piano regionale o l’atto di programmazione sono redatti secondo le modalità di cui all’Allegato B, che costituisce parte integrante del presente decreto, e contiene:</w:t>
      </w:r>
    </w:p>
    <w:p w14:paraId="3F69AFCF" w14:textId="77777777" w:rsidR="00AF707C" w:rsidRPr="009A7CD7" w:rsidRDefault="00AF707C" w:rsidP="00AF707C">
      <w:pPr>
        <w:numPr>
          <w:ilvl w:val="0"/>
          <w:numId w:val="17"/>
        </w:numPr>
        <w:spacing w:after="160"/>
        <w:ind w:left="567" w:hanging="283"/>
        <w:contextualSpacing/>
        <w:jc w:val="both"/>
        <w:rPr>
          <w:bCs/>
        </w:rPr>
      </w:pPr>
      <w:r w:rsidRPr="009A7CD7">
        <w:rPr>
          <w:bCs/>
        </w:rPr>
        <w:t>il quadro di contesto e le modalità di attuazione dell’integrazione sociosanitaria;</w:t>
      </w:r>
    </w:p>
    <w:p w14:paraId="548A7A81" w14:textId="77777777" w:rsidR="00AF707C" w:rsidRPr="009A7CD7" w:rsidRDefault="00AF707C" w:rsidP="00AF707C">
      <w:pPr>
        <w:numPr>
          <w:ilvl w:val="0"/>
          <w:numId w:val="17"/>
        </w:numPr>
        <w:ind w:left="567" w:hanging="283"/>
        <w:contextualSpacing/>
        <w:jc w:val="both"/>
        <w:rPr>
          <w:bCs/>
        </w:rPr>
      </w:pPr>
      <w:r w:rsidRPr="009A7CD7">
        <w:rPr>
          <w:bCs/>
        </w:rPr>
        <w:t>le modalità di individuazione dei beneficiari;</w:t>
      </w:r>
    </w:p>
    <w:p w14:paraId="5F8A8CB0" w14:textId="08FEBB8A" w:rsidR="00AF707C" w:rsidRPr="009A7CD7" w:rsidRDefault="00AF707C" w:rsidP="00AF707C">
      <w:pPr>
        <w:numPr>
          <w:ilvl w:val="0"/>
          <w:numId w:val="17"/>
        </w:numPr>
        <w:ind w:left="567" w:hanging="283"/>
        <w:contextualSpacing/>
        <w:jc w:val="both"/>
        <w:rPr>
          <w:rFonts w:eastAsia="Calibri"/>
          <w:lang w:eastAsia="en-US"/>
        </w:rPr>
      </w:pPr>
      <w:r w:rsidRPr="009A7CD7">
        <w:rPr>
          <w:bCs/>
        </w:rPr>
        <w:t xml:space="preserve">la descrizione degli interventi e dei servizi programmati e, in particolare, le caratteristiche dei servizi socioassistenziali volti a promuovere la continuità e la qualità di vita a domicilio delle persone con disabilità in condizione di non autosufficienza, compresa l’attuazione degli obiettivi di servizio in favore di tale </w:t>
      </w:r>
      <w:r w:rsidR="009C6711" w:rsidRPr="009A7CD7">
        <w:rPr>
          <w:bCs/>
        </w:rPr>
        <w:t>platea,</w:t>
      </w:r>
      <w:r w:rsidR="00622A87" w:rsidRPr="009A7CD7">
        <w:rPr>
          <w:bCs/>
        </w:rPr>
        <w:t xml:space="preserve"> in continuità con quanto previsto</w:t>
      </w:r>
      <w:r w:rsidRPr="009A7CD7">
        <w:rPr>
          <w:bCs/>
        </w:rPr>
        <w:t xml:space="preserve"> dal precedente </w:t>
      </w:r>
      <w:r w:rsidR="00F6730B" w:rsidRPr="009A7CD7">
        <w:rPr>
          <w:bCs/>
        </w:rPr>
        <w:t>Piano</w:t>
      </w:r>
      <w:r w:rsidRPr="009A7CD7">
        <w:rPr>
          <w:bCs/>
        </w:rPr>
        <w:t xml:space="preserve"> 2022-2024;</w:t>
      </w:r>
    </w:p>
    <w:p w14:paraId="6144365E" w14:textId="77777777" w:rsidR="00AF707C" w:rsidRPr="009A7CD7" w:rsidRDefault="00AF707C" w:rsidP="00AF707C">
      <w:pPr>
        <w:numPr>
          <w:ilvl w:val="0"/>
          <w:numId w:val="17"/>
        </w:numPr>
        <w:ind w:left="567" w:hanging="283"/>
        <w:contextualSpacing/>
        <w:jc w:val="both"/>
        <w:rPr>
          <w:bCs/>
        </w:rPr>
      </w:pPr>
      <w:r w:rsidRPr="009A7CD7">
        <w:rPr>
          <w:bCs/>
        </w:rPr>
        <w:t>la programmazione delle risorse finanziarie;</w:t>
      </w:r>
    </w:p>
    <w:p w14:paraId="10E6ACB6" w14:textId="77777777" w:rsidR="00AF707C" w:rsidRPr="009A7CD7" w:rsidRDefault="00AF707C" w:rsidP="00AF707C">
      <w:pPr>
        <w:numPr>
          <w:ilvl w:val="0"/>
          <w:numId w:val="17"/>
        </w:numPr>
        <w:ind w:left="567" w:hanging="283"/>
        <w:contextualSpacing/>
        <w:jc w:val="both"/>
        <w:rPr>
          <w:bCs/>
        </w:rPr>
      </w:pPr>
      <w:r w:rsidRPr="009A7CD7">
        <w:rPr>
          <w:bCs/>
        </w:rPr>
        <w:t>le modalità di monitoraggio degli interventi;</w:t>
      </w:r>
    </w:p>
    <w:p w14:paraId="7C7C7F8E" w14:textId="7BBAAFA2" w:rsidR="00AF707C" w:rsidRPr="009A7CD7" w:rsidRDefault="00AF707C" w:rsidP="00AF707C">
      <w:pPr>
        <w:numPr>
          <w:ilvl w:val="0"/>
          <w:numId w:val="17"/>
        </w:numPr>
        <w:ind w:left="568" w:hanging="284"/>
        <w:jc w:val="both"/>
        <w:rPr>
          <w:bCs/>
        </w:rPr>
      </w:pPr>
      <w:r w:rsidRPr="009A7CD7">
        <w:rPr>
          <w:bCs/>
        </w:rPr>
        <w:t>le risorse e gli ambiti territoriali coinvolti nell’implementazione delle “Linee di indirizzo</w:t>
      </w:r>
      <w:r w:rsidRPr="009A7CD7">
        <w:rPr>
          <w:bCs/>
          <w:shd w:val="clear" w:color="auto" w:fill="FFFFFF" w:themeFill="background1"/>
        </w:rPr>
        <w:t xml:space="preserve"> </w:t>
      </w:r>
      <w:r w:rsidRPr="009A7CD7">
        <w:rPr>
          <w:bCs/>
        </w:rPr>
        <w:t xml:space="preserve">per </w:t>
      </w:r>
      <w:r w:rsidR="00D43BA8" w:rsidRPr="009A7CD7">
        <w:rPr>
          <w:bCs/>
        </w:rPr>
        <w:t>p</w:t>
      </w:r>
      <w:r w:rsidRPr="009A7CD7">
        <w:rPr>
          <w:bCs/>
        </w:rPr>
        <w:t>rogetti di vita indipendente” di cui all’articolo 4 del presente decreto.</w:t>
      </w:r>
    </w:p>
    <w:p w14:paraId="05BD51C6" w14:textId="7980DAA5" w:rsidR="00210E9E" w:rsidRPr="009A7CD7" w:rsidRDefault="00D43BA8" w:rsidP="00A4294D">
      <w:pPr>
        <w:spacing w:after="160"/>
        <w:contextualSpacing/>
        <w:jc w:val="both"/>
        <w:rPr>
          <w:rFonts w:eastAsia="Calibri"/>
          <w:strike/>
          <w:lang w:eastAsia="en-US"/>
        </w:rPr>
      </w:pPr>
      <w:r w:rsidRPr="009A7CD7">
        <w:rPr>
          <w:rFonts w:eastAsia="Calibri"/>
          <w:lang w:eastAsia="en-US"/>
        </w:rPr>
        <w:t xml:space="preserve">5. </w:t>
      </w:r>
      <w:r w:rsidR="00AF707C" w:rsidRPr="009A7CD7">
        <w:rPr>
          <w:rFonts w:eastAsia="Calibri"/>
          <w:lang w:eastAsia="en-US"/>
        </w:rPr>
        <w:t xml:space="preserve">Gli </w:t>
      </w:r>
      <w:r w:rsidR="003B3976" w:rsidRPr="009A7CD7">
        <w:rPr>
          <w:rFonts w:eastAsia="Calibri"/>
          <w:lang w:eastAsia="en-US"/>
        </w:rPr>
        <w:t>a</w:t>
      </w:r>
      <w:r w:rsidR="00AF707C" w:rsidRPr="009A7CD7">
        <w:rPr>
          <w:rFonts w:eastAsia="Calibri"/>
          <w:lang w:eastAsia="en-US"/>
        </w:rPr>
        <w:t xml:space="preserve">mbiti territoriali sociali garantiscono anche l’offerta dei servizi e degli interventi nelle aree di attività declinate nella precedente programmazione 2022-2024, sulla base del Progetto di assistenza individualizzato (PAI), ovvero, laddove richiesto, del Progetto di </w:t>
      </w:r>
      <w:r w:rsidR="007A20FB" w:rsidRPr="009A7CD7">
        <w:rPr>
          <w:rFonts w:eastAsia="Calibri"/>
          <w:lang w:eastAsia="en-US"/>
        </w:rPr>
        <w:t>v</w:t>
      </w:r>
      <w:r w:rsidR="00AF707C" w:rsidRPr="009A7CD7">
        <w:rPr>
          <w:rFonts w:eastAsia="Calibri"/>
          <w:lang w:eastAsia="en-US"/>
        </w:rPr>
        <w:t>ita</w:t>
      </w:r>
      <w:r w:rsidR="00D03AF2" w:rsidRPr="009A7CD7">
        <w:rPr>
          <w:rFonts w:eastAsia="Calibri"/>
          <w:lang w:eastAsia="en-US"/>
        </w:rPr>
        <w:t>,</w:t>
      </w:r>
      <w:r w:rsidR="00AF707C" w:rsidRPr="009A7CD7">
        <w:rPr>
          <w:rFonts w:eastAsia="Calibri"/>
          <w:lang w:eastAsia="en-US"/>
        </w:rPr>
        <w:t xml:space="preserve"> definiti</w:t>
      </w:r>
      <w:r w:rsidR="00D03AF2" w:rsidRPr="009A7CD7">
        <w:rPr>
          <w:rFonts w:eastAsia="Calibri"/>
          <w:lang w:eastAsia="en-US"/>
        </w:rPr>
        <w:t>,</w:t>
      </w:r>
      <w:r w:rsidR="00AF707C" w:rsidRPr="009A7CD7">
        <w:rPr>
          <w:rFonts w:eastAsia="Calibri"/>
          <w:lang w:eastAsia="en-US"/>
        </w:rPr>
        <w:t xml:space="preserve"> con il concorso del destinatario, dalle </w:t>
      </w:r>
      <w:r w:rsidR="00AF707C" w:rsidRPr="009A7CD7">
        <w:rPr>
          <w:rFonts w:eastAsia="Calibri"/>
          <w:i/>
          <w:iCs/>
          <w:lang w:eastAsia="en-US"/>
        </w:rPr>
        <w:t>équipe</w:t>
      </w:r>
      <w:r w:rsidR="00AF707C" w:rsidRPr="009A7CD7">
        <w:rPr>
          <w:rFonts w:eastAsia="Calibri"/>
          <w:lang w:eastAsia="en-US"/>
        </w:rPr>
        <w:t xml:space="preserve"> </w:t>
      </w:r>
      <w:r w:rsidR="00944F0F" w:rsidRPr="009A7CD7">
        <w:rPr>
          <w:rFonts w:eastAsia="Calibri"/>
          <w:lang w:eastAsia="en-US"/>
        </w:rPr>
        <w:t xml:space="preserve">multidisciplinari </w:t>
      </w:r>
      <w:r w:rsidR="00AF707C" w:rsidRPr="009A7CD7">
        <w:rPr>
          <w:rFonts w:eastAsia="Calibri"/>
          <w:lang w:eastAsia="en-US"/>
        </w:rPr>
        <w:t xml:space="preserve">operanti presso i Punti </w:t>
      </w:r>
      <w:r w:rsidR="007A20FB" w:rsidRPr="009A7CD7">
        <w:rPr>
          <w:rFonts w:eastAsia="Calibri"/>
          <w:lang w:eastAsia="en-US"/>
        </w:rPr>
        <w:t>u</w:t>
      </w:r>
      <w:r w:rsidR="00AF707C" w:rsidRPr="009A7CD7">
        <w:rPr>
          <w:rFonts w:eastAsia="Calibri"/>
          <w:lang w:eastAsia="en-US"/>
        </w:rPr>
        <w:t xml:space="preserve">nici di </w:t>
      </w:r>
      <w:r w:rsidR="007A20FB" w:rsidRPr="009A7CD7">
        <w:rPr>
          <w:rFonts w:eastAsia="Calibri"/>
          <w:lang w:eastAsia="en-US"/>
        </w:rPr>
        <w:t>a</w:t>
      </w:r>
      <w:r w:rsidR="00AF707C" w:rsidRPr="009A7CD7">
        <w:rPr>
          <w:rFonts w:eastAsia="Calibri"/>
          <w:lang w:eastAsia="en-US"/>
        </w:rPr>
        <w:t xml:space="preserve">ccesso (PUA). Tali </w:t>
      </w:r>
      <w:r w:rsidR="00AF707C" w:rsidRPr="009A7CD7">
        <w:rPr>
          <w:rFonts w:eastAsia="Calibri"/>
          <w:i/>
          <w:iCs/>
          <w:lang w:eastAsia="en-US"/>
        </w:rPr>
        <w:t>équipe</w:t>
      </w:r>
      <w:r w:rsidR="00AF707C" w:rsidRPr="009A7CD7">
        <w:rPr>
          <w:rFonts w:eastAsia="Calibri"/>
          <w:lang w:eastAsia="en-US"/>
        </w:rPr>
        <w:t xml:space="preserve"> sono rafforzate mediante l’utilizzo delle risorse destinate al reclutamento del personale aggiuntivo con professionalità sociale di cui all’articolo 5 del presente decreto, come indicato nella tabella n. </w:t>
      </w:r>
      <w:r w:rsidR="005A18C8" w:rsidRPr="009A7CD7">
        <w:rPr>
          <w:rFonts w:eastAsia="Calibri"/>
          <w:lang w:eastAsia="en-US"/>
        </w:rPr>
        <w:t xml:space="preserve">6 </w:t>
      </w:r>
      <w:r w:rsidR="00AD0BAA" w:rsidRPr="009A7CD7">
        <w:rPr>
          <w:rFonts w:eastAsia="Calibri"/>
          <w:lang w:eastAsia="en-US"/>
        </w:rPr>
        <w:t>di cui al</w:t>
      </w:r>
      <w:r w:rsidR="005A18C8" w:rsidRPr="009A7CD7">
        <w:rPr>
          <w:rFonts w:eastAsia="Calibri"/>
          <w:lang w:eastAsia="en-US"/>
        </w:rPr>
        <w:t xml:space="preserve"> presente decreto</w:t>
      </w:r>
      <w:r w:rsidR="00C34677" w:rsidRPr="009A7CD7">
        <w:rPr>
          <w:rFonts w:eastAsia="Calibri"/>
          <w:lang w:eastAsia="en-US"/>
        </w:rPr>
        <w:t>,</w:t>
      </w:r>
      <w:r w:rsidR="00AF707C" w:rsidRPr="009A7CD7">
        <w:rPr>
          <w:rFonts w:eastAsia="Calibri"/>
          <w:lang w:eastAsia="en-US"/>
        </w:rPr>
        <w:t xml:space="preserve"> denominata “</w:t>
      </w:r>
      <w:r w:rsidR="00AD0BAA" w:rsidRPr="009A7CD7">
        <w:rPr>
          <w:rFonts w:eastAsia="Calibri"/>
          <w:lang w:eastAsia="en-US"/>
        </w:rPr>
        <w:t xml:space="preserve">Unità di personale PUA per </w:t>
      </w:r>
      <w:r w:rsidR="00186B3A" w:rsidRPr="009A7CD7">
        <w:rPr>
          <w:rFonts w:eastAsia="Calibri"/>
          <w:lang w:eastAsia="en-US"/>
        </w:rPr>
        <w:t>r</w:t>
      </w:r>
      <w:r w:rsidR="00AD0BAA" w:rsidRPr="009A7CD7">
        <w:rPr>
          <w:rFonts w:eastAsia="Calibri"/>
          <w:lang w:eastAsia="en-US"/>
        </w:rPr>
        <w:t>egione</w:t>
      </w:r>
      <w:r w:rsidR="00AF707C" w:rsidRPr="009A7CD7">
        <w:rPr>
          <w:rFonts w:eastAsia="Calibri"/>
          <w:lang w:eastAsia="en-US"/>
        </w:rPr>
        <w:t xml:space="preserve">”. </w:t>
      </w:r>
      <w:r w:rsidR="00210E9E" w:rsidRPr="009A7CD7">
        <w:rPr>
          <w:rFonts w:eastAsia="Calibri"/>
          <w:lang w:eastAsia="en-US"/>
        </w:rPr>
        <w:t>L’offerta di servizi</w:t>
      </w:r>
      <w:r w:rsidR="00210E9E" w:rsidRPr="009A7CD7">
        <w:rPr>
          <w:rFonts w:eastAsia="Calibri"/>
        </w:rPr>
        <w:t xml:space="preserve">, in continuità con la </w:t>
      </w:r>
      <w:r w:rsidR="00210E9E" w:rsidRPr="009A7CD7">
        <w:rPr>
          <w:rFonts w:eastAsia="Calibri"/>
          <w:lang w:eastAsia="en-US"/>
        </w:rPr>
        <w:t xml:space="preserve">precedente programmazione 2022-2024, può essere integrata da contributi, diversi </w:t>
      </w:r>
      <w:r w:rsidR="00210E9E" w:rsidRPr="009A7CD7">
        <w:rPr>
          <w:rFonts w:eastAsia="Calibri"/>
          <w:lang w:eastAsia="en-US"/>
        </w:rPr>
        <w:lastRenderedPageBreak/>
        <w:t>dall’indennità di accompagnamento, per il sostegno alle persone non autosufficienti e per il supporto ai familiari che partecipano all’assistenza</w:t>
      </w:r>
      <w:r w:rsidR="00186B3A" w:rsidRPr="009A7CD7">
        <w:rPr>
          <w:rFonts w:eastAsia="Calibri"/>
          <w:lang w:eastAsia="en-US"/>
        </w:rPr>
        <w:t xml:space="preserve">, in coerenza con gli interventi previsti nello strumento di programmazione adottato con il presente decreto. </w:t>
      </w:r>
    </w:p>
    <w:p w14:paraId="755B1CBF" w14:textId="446BB72D" w:rsidR="00AF707C" w:rsidRPr="009A7CD7" w:rsidRDefault="007A20FB" w:rsidP="007A20FB">
      <w:pPr>
        <w:spacing w:after="160"/>
        <w:contextualSpacing/>
        <w:jc w:val="both"/>
        <w:rPr>
          <w:bCs/>
        </w:rPr>
      </w:pPr>
      <w:r w:rsidRPr="009A7CD7">
        <w:rPr>
          <w:bCs/>
        </w:rPr>
        <w:t xml:space="preserve">6. </w:t>
      </w:r>
      <w:r w:rsidR="00AF707C" w:rsidRPr="009A7CD7">
        <w:rPr>
          <w:rFonts w:eastAsia="Calibri"/>
          <w:lang w:eastAsia="en-US"/>
        </w:rPr>
        <w:t>La programmazione è comunicata al Ministero del lavoro e delle politiche sociali entro novanta giorni dall</w:t>
      </w:r>
      <w:r w:rsidR="00ED30C5" w:rsidRPr="009A7CD7">
        <w:rPr>
          <w:rFonts w:eastAsia="Calibri"/>
          <w:lang w:eastAsia="en-US"/>
        </w:rPr>
        <w:t>’</w:t>
      </w:r>
      <w:r w:rsidR="00AF707C" w:rsidRPr="009A7CD7">
        <w:rPr>
          <w:rFonts w:eastAsia="Calibri"/>
          <w:lang w:eastAsia="en-US"/>
        </w:rPr>
        <w:t xml:space="preserve">avvenuta registrazione </w:t>
      </w:r>
      <w:r w:rsidR="00ED30C5" w:rsidRPr="009A7CD7">
        <w:rPr>
          <w:rFonts w:eastAsia="Calibri"/>
          <w:lang w:eastAsia="en-US"/>
        </w:rPr>
        <w:t xml:space="preserve">del presente decreto da parte </w:t>
      </w:r>
      <w:r w:rsidR="00AF707C" w:rsidRPr="009A7CD7">
        <w:t>della Corte dei conti</w:t>
      </w:r>
      <w:r w:rsidR="00AF707C" w:rsidRPr="009A7CD7">
        <w:rPr>
          <w:rFonts w:eastAsia="Calibri"/>
          <w:lang w:eastAsia="en-US"/>
        </w:rPr>
        <w:t>. Il Ministero del lavoro e delle politiche sociali procede</w:t>
      </w:r>
      <w:r w:rsidR="00ED30C5" w:rsidRPr="009A7CD7">
        <w:rPr>
          <w:rFonts w:eastAsia="Calibri"/>
          <w:lang w:eastAsia="en-US"/>
        </w:rPr>
        <w:t xml:space="preserve"> </w:t>
      </w:r>
      <w:r w:rsidR="00AF707C" w:rsidRPr="009A7CD7">
        <w:rPr>
          <w:rFonts w:eastAsia="Calibri"/>
          <w:lang w:eastAsia="en-US"/>
        </w:rPr>
        <w:t>all’approvazione della programmazione regionale una volta valutata, entro trenta giorni dalla ricezione dello schema di</w:t>
      </w:r>
      <w:r w:rsidR="00AF707C" w:rsidRPr="009A7CD7">
        <w:rPr>
          <w:bCs/>
        </w:rPr>
        <w:t xml:space="preserve"> Piano regionale ovvero dell’atto di programmazione regionale</w:t>
      </w:r>
      <w:r w:rsidR="00AF707C" w:rsidRPr="009A7CD7">
        <w:rPr>
          <w:rFonts w:eastAsia="Calibri"/>
          <w:lang w:eastAsia="en-US"/>
        </w:rPr>
        <w:t>, la coerenza</w:t>
      </w:r>
      <w:r w:rsidR="00AF707C" w:rsidRPr="009A7CD7">
        <w:rPr>
          <w:rFonts w:eastAsia="Calibri"/>
          <w:bCs/>
          <w:lang w:eastAsia="en-US"/>
        </w:rPr>
        <w:t xml:space="preserve"> </w:t>
      </w:r>
      <w:r w:rsidR="00ED30C5" w:rsidRPr="009A7CD7">
        <w:rPr>
          <w:rFonts w:eastAsia="Calibri"/>
          <w:bCs/>
          <w:lang w:eastAsia="en-US"/>
        </w:rPr>
        <w:t xml:space="preserve">di quest’ultimo </w:t>
      </w:r>
      <w:r w:rsidR="00DA0540" w:rsidRPr="009A7CD7">
        <w:rPr>
          <w:rFonts w:eastAsia="Calibri"/>
          <w:bCs/>
          <w:lang w:eastAsia="en-US"/>
        </w:rPr>
        <w:t xml:space="preserve">con </w:t>
      </w:r>
      <w:r w:rsidR="00AF707C" w:rsidRPr="009A7CD7">
        <w:rPr>
          <w:rFonts w:eastAsia="Calibri"/>
          <w:bCs/>
          <w:lang w:eastAsia="en-US"/>
        </w:rPr>
        <w:t>il Piano nazionale per la non autosufficienza</w:t>
      </w:r>
      <w:r w:rsidR="00ED30C5" w:rsidRPr="009A7CD7">
        <w:rPr>
          <w:rFonts w:eastAsia="Calibri"/>
          <w:bCs/>
          <w:lang w:eastAsia="en-US"/>
        </w:rPr>
        <w:t xml:space="preserve"> adottato con il presente decreto.</w:t>
      </w:r>
      <w:r w:rsidR="00AF707C" w:rsidRPr="009A7CD7">
        <w:rPr>
          <w:rFonts w:eastAsia="Calibri"/>
          <w:bCs/>
          <w:lang w:eastAsia="en-US"/>
        </w:rPr>
        <w:t xml:space="preserve"> </w:t>
      </w:r>
    </w:p>
    <w:p w14:paraId="12F7C357" w14:textId="02C91623" w:rsidR="009330D9" w:rsidRPr="009A7CD7" w:rsidRDefault="00ED30C5" w:rsidP="00A11D21">
      <w:pPr>
        <w:spacing w:after="160"/>
        <w:contextualSpacing/>
        <w:jc w:val="both"/>
        <w:rPr>
          <w:bCs/>
        </w:rPr>
      </w:pPr>
      <w:r w:rsidRPr="009A7CD7">
        <w:rPr>
          <w:bCs/>
        </w:rPr>
        <w:t xml:space="preserve">7. </w:t>
      </w:r>
      <w:r w:rsidR="00AF707C" w:rsidRPr="009A7CD7">
        <w:rPr>
          <w:bCs/>
        </w:rPr>
        <w:t>Gli interventi previsti nel Piano</w:t>
      </w:r>
      <w:r w:rsidR="005D174C" w:rsidRPr="009A7CD7">
        <w:rPr>
          <w:bCs/>
        </w:rPr>
        <w:t xml:space="preserve"> 2025-2027</w:t>
      </w:r>
      <w:r w:rsidR="00AF707C" w:rsidRPr="009A7CD7">
        <w:rPr>
          <w:bCs/>
        </w:rPr>
        <w:t>, in un quadro più generale di valutazione multidimensionale del bisogno e di progettazione personalizzata, sono condizionati all</w:t>
      </w:r>
      <w:r w:rsidR="005D174C" w:rsidRPr="009A7CD7">
        <w:rPr>
          <w:bCs/>
        </w:rPr>
        <w:t>’</w:t>
      </w:r>
      <w:r w:rsidR="00AF707C" w:rsidRPr="009A7CD7">
        <w:rPr>
          <w:bCs/>
        </w:rPr>
        <w:t xml:space="preserve">ISEE secondo quanto previsto dalla programmazione regionale. Nel caso di interventi forniti a persone con necessità di </w:t>
      </w:r>
      <w:r w:rsidR="00C34677" w:rsidRPr="009A7CD7">
        <w:rPr>
          <w:bCs/>
        </w:rPr>
        <w:t xml:space="preserve">un </w:t>
      </w:r>
      <w:r w:rsidR="00AF707C" w:rsidRPr="009A7CD7">
        <w:rPr>
          <w:bCs/>
        </w:rPr>
        <w:t xml:space="preserve">sostegno di livello elevato o molto elevato ai sensi del decreto legislativo n. 62 del 2024, le soglie di accesso non possono essere inferiori a 50.000,00 euro, </w:t>
      </w:r>
      <w:r w:rsidR="005D174C" w:rsidRPr="009A7CD7">
        <w:rPr>
          <w:bCs/>
        </w:rPr>
        <w:t xml:space="preserve">elevati </w:t>
      </w:r>
      <w:r w:rsidR="00AF707C" w:rsidRPr="009A7CD7">
        <w:rPr>
          <w:bCs/>
        </w:rPr>
        <w:t xml:space="preserve">a 65.000,00 </w:t>
      </w:r>
      <w:r w:rsidR="005D174C" w:rsidRPr="009A7CD7">
        <w:rPr>
          <w:bCs/>
        </w:rPr>
        <w:t xml:space="preserve">euro </w:t>
      </w:r>
      <w:r w:rsidR="00AF707C" w:rsidRPr="009A7CD7">
        <w:rPr>
          <w:bCs/>
        </w:rPr>
        <w:t>in caso di beneficiari minorenni, dove l</w:t>
      </w:r>
      <w:r w:rsidR="00363C0F" w:rsidRPr="009A7CD7">
        <w:rPr>
          <w:bCs/>
        </w:rPr>
        <w:t>’</w:t>
      </w:r>
      <w:r w:rsidR="00AF707C" w:rsidRPr="009A7CD7">
        <w:rPr>
          <w:bCs/>
        </w:rPr>
        <w:t>ISEE da utilizzare è quello per prestazioni di natura sociosanitaria.</w:t>
      </w:r>
    </w:p>
    <w:p w14:paraId="315A915E" w14:textId="77777777" w:rsidR="00354918" w:rsidRPr="009A7CD7" w:rsidRDefault="00354918" w:rsidP="00A11D21">
      <w:pPr>
        <w:spacing w:after="160"/>
        <w:contextualSpacing/>
        <w:jc w:val="both"/>
        <w:rPr>
          <w:bCs/>
        </w:rPr>
      </w:pPr>
    </w:p>
    <w:p w14:paraId="04BBED0F" w14:textId="59E3CB36" w:rsidR="00AF707C" w:rsidRPr="009A7CD7" w:rsidRDefault="00AF707C" w:rsidP="00AF707C">
      <w:pPr>
        <w:ind w:left="1800" w:hanging="1800"/>
        <w:jc w:val="center"/>
        <w:rPr>
          <w:b/>
        </w:rPr>
      </w:pPr>
      <w:r w:rsidRPr="009A7CD7">
        <w:rPr>
          <w:b/>
        </w:rPr>
        <w:t>Articolo 2</w:t>
      </w:r>
    </w:p>
    <w:p w14:paraId="38820EEC" w14:textId="77777777" w:rsidR="00AF707C" w:rsidRPr="009A7CD7" w:rsidRDefault="00AF707C" w:rsidP="00AF707C">
      <w:pPr>
        <w:tabs>
          <w:tab w:val="left" w:pos="3780"/>
        </w:tabs>
        <w:spacing w:after="120"/>
        <w:jc w:val="center"/>
        <w:rPr>
          <w:i/>
          <w:iCs/>
        </w:rPr>
      </w:pPr>
      <w:r w:rsidRPr="009A7CD7">
        <w:rPr>
          <w:i/>
          <w:iCs/>
        </w:rPr>
        <w:t>(Risorse finanziarie)</w:t>
      </w:r>
    </w:p>
    <w:p w14:paraId="1DE7403E" w14:textId="3A155D97" w:rsidR="00E61427" w:rsidRPr="009A7CD7" w:rsidRDefault="00363C0F" w:rsidP="00363C0F">
      <w:pPr>
        <w:spacing w:after="160"/>
        <w:contextualSpacing/>
        <w:jc w:val="both"/>
        <w:rPr>
          <w:rFonts w:eastAsia="Calibri"/>
          <w:lang w:eastAsia="en-US"/>
        </w:rPr>
      </w:pPr>
      <w:r w:rsidRPr="009A7CD7">
        <w:rPr>
          <w:rFonts w:eastAsia="Calibri"/>
          <w:lang w:eastAsia="en-US"/>
        </w:rPr>
        <w:t xml:space="preserve">1. </w:t>
      </w:r>
      <w:r w:rsidR="00AF707C" w:rsidRPr="009A7CD7">
        <w:rPr>
          <w:rFonts w:eastAsia="Calibri"/>
          <w:lang w:eastAsia="en-US"/>
        </w:rPr>
        <w:t>Le risorse complessivamente afferenti al Fondo per le non autosufficienze nel triennio 2025-20</w:t>
      </w:r>
      <w:r w:rsidRPr="009A7CD7">
        <w:rPr>
          <w:rFonts w:eastAsia="Calibri"/>
          <w:lang w:eastAsia="en-US"/>
        </w:rPr>
        <w:t>2</w:t>
      </w:r>
      <w:r w:rsidR="00AF707C" w:rsidRPr="009A7CD7">
        <w:rPr>
          <w:rFonts w:eastAsia="Calibri"/>
          <w:lang w:eastAsia="en-US"/>
        </w:rPr>
        <w:t>7 sono pari a</w:t>
      </w:r>
      <w:r w:rsidR="001736E0">
        <w:rPr>
          <w:rFonts w:eastAsia="Calibri"/>
          <w:lang w:eastAsia="en-US"/>
        </w:rPr>
        <w:t>:</w:t>
      </w:r>
      <w:r w:rsidR="00AF707C" w:rsidRPr="009A7CD7">
        <w:rPr>
          <w:rFonts w:eastAsia="Calibri"/>
          <w:lang w:eastAsia="en-US"/>
        </w:rPr>
        <w:t xml:space="preserve"> </w:t>
      </w:r>
      <w:r w:rsidR="00E66065" w:rsidRPr="009A7CD7">
        <w:rPr>
          <w:rFonts w:eastAsia="Calibri"/>
          <w:lang w:eastAsia="en-US"/>
        </w:rPr>
        <w:t xml:space="preserve">982.255.000,00 </w:t>
      </w:r>
      <w:r w:rsidRPr="009A7CD7">
        <w:t>euro</w:t>
      </w:r>
      <w:r w:rsidR="00AF707C" w:rsidRPr="009A7CD7">
        <w:t xml:space="preserve"> per </w:t>
      </w:r>
      <w:r w:rsidRPr="009A7CD7">
        <w:t xml:space="preserve">l’anno </w:t>
      </w:r>
      <w:r w:rsidR="00AF707C" w:rsidRPr="009A7CD7">
        <w:t>2025</w:t>
      </w:r>
      <w:r w:rsidR="001736E0">
        <w:t xml:space="preserve">; </w:t>
      </w:r>
      <w:r w:rsidR="00AF707C" w:rsidRPr="009A7CD7">
        <w:t>934.570.000</w:t>
      </w:r>
      <w:r w:rsidRPr="009A7CD7">
        <w:t>,00 euro</w:t>
      </w:r>
      <w:r w:rsidR="00AF707C" w:rsidRPr="009A7CD7">
        <w:t xml:space="preserve"> per il 2026 e 1.108.470.000</w:t>
      </w:r>
      <w:r w:rsidRPr="009A7CD7">
        <w:t>,00 euro</w:t>
      </w:r>
      <w:r w:rsidR="00AF707C" w:rsidRPr="009A7CD7">
        <w:t xml:space="preserve"> per il 2027</w:t>
      </w:r>
      <w:r w:rsidR="00AF707C" w:rsidRPr="009A7CD7">
        <w:rPr>
          <w:rFonts w:eastAsia="Calibri"/>
          <w:lang w:eastAsia="en-US"/>
        </w:rPr>
        <w:t>.</w:t>
      </w:r>
    </w:p>
    <w:p w14:paraId="60301116" w14:textId="2744901E" w:rsidR="00425067" w:rsidRPr="009A7CD7" w:rsidRDefault="00363C0F" w:rsidP="00363C0F">
      <w:pPr>
        <w:spacing w:after="160"/>
        <w:contextualSpacing/>
        <w:jc w:val="both"/>
        <w:rPr>
          <w:rFonts w:eastAsia="Calibri"/>
          <w:lang w:eastAsia="en-US"/>
        </w:rPr>
      </w:pPr>
      <w:r w:rsidRPr="009A7CD7">
        <w:rPr>
          <w:rFonts w:eastAsia="Calibri"/>
          <w:lang w:eastAsia="en-US"/>
        </w:rPr>
        <w:t>2.</w:t>
      </w:r>
      <w:r w:rsidR="00963217" w:rsidRPr="009A7CD7">
        <w:rPr>
          <w:rFonts w:eastAsia="Calibri"/>
          <w:lang w:eastAsia="en-US"/>
        </w:rPr>
        <w:t xml:space="preserve"> </w:t>
      </w:r>
      <w:r w:rsidR="00B53445" w:rsidRPr="009A7CD7">
        <w:rPr>
          <w:rFonts w:eastAsia="Calibri"/>
          <w:lang w:eastAsia="en-US"/>
        </w:rPr>
        <w:t xml:space="preserve">Ai fini dell’assegnazione alle </w:t>
      </w:r>
      <w:r w:rsidR="002A0882" w:rsidRPr="009A7CD7">
        <w:rPr>
          <w:rFonts w:eastAsia="Calibri"/>
          <w:lang w:eastAsia="en-US"/>
        </w:rPr>
        <w:t>r</w:t>
      </w:r>
      <w:r w:rsidR="00B53445" w:rsidRPr="009A7CD7">
        <w:rPr>
          <w:rFonts w:eastAsia="Calibri"/>
          <w:lang w:eastAsia="en-US"/>
        </w:rPr>
        <w:t xml:space="preserve">egioni delle risorse del Fondo di cui al comma 1, </w:t>
      </w:r>
      <w:r w:rsidR="00811792" w:rsidRPr="009A7CD7">
        <w:rPr>
          <w:rFonts w:eastAsia="Calibri"/>
          <w:lang w:eastAsia="en-US"/>
        </w:rPr>
        <w:t xml:space="preserve">sono individuate le somme da </w:t>
      </w:r>
      <w:r w:rsidR="00B53445" w:rsidRPr="009A7CD7">
        <w:rPr>
          <w:rFonts w:eastAsia="Calibri"/>
          <w:lang w:eastAsia="en-US"/>
        </w:rPr>
        <w:t>riserva</w:t>
      </w:r>
      <w:r w:rsidR="00811792" w:rsidRPr="009A7CD7">
        <w:rPr>
          <w:rFonts w:eastAsia="Calibri"/>
          <w:lang w:eastAsia="en-US"/>
        </w:rPr>
        <w:t xml:space="preserve">re </w:t>
      </w:r>
      <w:r w:rsidR="00B53445" w:rsidRPr="009A7CD7">
        <w:rPr>
          <w:rFonts w:eastAsia="Calibri"/>
          <w:lang w:eastAsia="en-US"/>
        </w:rPr>
        <w:t>alle seguenti finalità</w:t>
      </w:r>
      <w:r w:rsidR="00A4294D" w:rsidRPr="009A7CD7">
        <w:rPr>
          <w:rFonts w:eastAsia="Calibri"/>
          <w:lang w:eastAsia="en-US"/>
        </w:rPr>
        <w:t xml:space="preserve">: </w:t>
      </w:r>
    </w:p>
    <w:p w14:paraId="72892874" w14:textId="7F8FEA15" w:rsidR="00A11D21" w:rsidRPr="009A7CD7" w:rsidRDefault="00A4294D" w:rsidP="00A11D21">
      <w:pPr>
        <w:pStyle w:val="Paragrafoelenco"/>
        <w:numPr>
          <w:ilvl w:val="0"/>
          <w:numId w:val="23"/>
        </w:numPr>
        <w:spacing w:after="160"/>
        <w:jc w:val="both"/>
        <w:rPr>
          <w:rFonts w:eastAsia="Calibri"/>
          <w:lang w:eastAsia="en-US"/>
        </w:rPr>
      </w:pPr>
      <w:r w:rsidRPr="009A7CD7">
        <w:rPr>
          <w:rFonts w:eastAsia="Calibri"/>
          <w:lang w:eastAsia="en-US"/>
        </w:rPr>
        <w:t>14.640.000</w:t>
      </w:r>
      <w:r w:rsidR="00C536C5" w:rsidRPr="009A7CD7">
        <w:rPr>
          <w:rFonts w:eastAsia="Calibri"/>
          <w:lang w:eastAsia="en-US"/>
        </w:rPr>
        <w:t>,00</w:t>
      </w:r>
      <w:r w:rsidR="009C1E56" w:rsidRPr="009A7CD7">
        <w:rPr>
          <w:rFonts w:eastAsia="Calibri"/>
          <w:lang w:eastAsia="en-US"/>
        </w:rPr>
        <w:t xml:space="preserve"> </w:t>
      </w:r>
      <w:r w:rsidRPr="009A7CD7">
        <w:rPr>
          <w:rFonts w:eastAsia="Calibri"/>
          <w:lang w:eastAsia="en-US"/>
        </w:rPr>
        <w:t xml:space="preserve">euro, destinati alla realizzazione di progetti per la </w:t>
      </w:r>
      <w:r w:rsidR="001736E0">
        <w:rPr>
          <w:rFonts w:eastAsia="Calibri"/>
          <w:lang w:eastAsia="en-US"/>
        </w:rPr>
        <w:t>v</w:t>
      </w:r>
      <w:r w:rsidRPr="009A7CD7">
        <w:rPr>
          <w:rFonts w:eastAsia="Calibri"/>
          <w:lang w:eastAsia="en-US"/>
        </w:rPr>
        <w:t>ita indipendente</w:t>
      </w:r>
      <w:r w:rsidR="00DE1DE2" w:rsidRPr="009A7CD7">
        <w:rPr>
          <w:rFonts w:eastAsia="Calibri"/>
          <w:lang w:eastAsia="en-US"/>
        </w:rPr>
        <w:t xml:space="preserve"> ai sensi del </w:t>
      </w:r>
      <w:proofErr w:type="spellStart"/>
      <w:r w:rsidR="00622A87" w:rsidRPr="009A7CD7">
        <w:t>d.P</w:t>
      </w:r>
      <w:r w:rsidR="002A0882" w:rsidRPr="009A7CD7">
        <w:t>.</w:t>
      </w:r>
      <w:r w:rsidR="00622A87" w:rsidRPr="009A7CD7">
        <w:t>C</w:t>
      </w:r>
      <w:r w:rsidR="002A0882" w:rsidRPr="009A7CD7">
        <w:t>.</w:t>
      </w:r>
      <w:r w:rsidR="00622A87" w:rsidRPr="009A7CD7">
        <w:t>M</w:t>
      </w:r>
      <w:r w:rsidR="002A0882" w:rsidRPr="009A7CD7">
        <w:t>.</w:t>
      </w:r>
      <w:proofErr w:type="spellEnd"/>
      <w:r w:rsidR="00DE1DE2" w:rsidRPr="009A7CD7">
        <w:t xml:space="preserve"> 21 novembre 2019</w:t>
      </w:r>
      <w:r w:rsidR="00CB3865" w:rsidRPr="009A7CD7">
        <w:t>,</w:t>
      </w:r>
      <w:r w:rsidR="00DE1DE2" w:rsidRPr="009A7CD7">
        <w:t xml:space="preserve"> ed in particolare </w:t>
      </w:r>
      <w:r w:rsidR="00E66065" w:rsidRPr="009A7CD7">
        <w:t xml:space="preserve">della tabella 5 e </w:t>
      </w:r>
      <w:r w:rsidR="00DE1DE2" w:rsidRPr="009A7CD7">
        <w:t>dell’Allegato F</w:t>
      </w:r>
      <w:r w:rsidR="008931F3" w:rsidRPr="009A7CD7">
        <w:t xml:space="preserve"> che forma parte integrante del </w:t>
      </w:r>
      <w:r w:rsidR="00B12A64" w:rsidRPr="009A7CD7">
        <w:t>presente</w:t>
      </w:r>
      <w:r w:rsidR="008931F3" w:rsidRPr="009A7CD7">
        <w:t xml:space="preserve"> decreto</w:t>
      </w:r>
      <w:r w:rsidR="00DE1DE2" w:rsidRPr="009A7CD7">
        <w:t xml:space="preserve">, recante </w:t>
      </w:r>
      <w:r w:rsidR="00DE1DE2" w:rsidRPr="009A7CD7">
        <w:rPr>
          <w:i/>
          <w:iCs/>
        </w:rPr>
        <w:t>Linee di indirizzo per progetti di vita indipendente</w:t>
      </w:r>
      <w:r w:rsidRPr="009A7CD7">
        <w:rPr>
          <w:rFonts w:eastAsia="Calibri"/>
          <w:lang w:eastAsia="en-US"/>
        </w:rPr>
        <w:t xml:space="preserve">; </w:t>
      </w:r>
    </w:p>
    <w:p w14:paraId="5D17E696" w14:textId="7292A66F" w:rsidR="00905167" w:rsidRPr="009A7CD7" w:rsidRDefault="00A74DA2" w:rsidP="00A11D21">
      <w:pPr>
        <w:pStyle w:val="Paragrafoelenco"/>
        <w:numPr>
          <w:ilvl w:val="0"/>
          <w:numId w:val="23"/>
        </w:numPr>
        <w:spacing w:after="160"/>
        <w:jc w:val="both"/>
        <w:rPr>
          <w:rFonts w:eastAsia="Calibri"/>
          <w:lang w:eastAsia="en-US"/>
        </w:rPr>
      </w:pPr>
      <w:r w:rsidRPr="009A7CD7">
        <w:rPr>
          <w:rFonts w:eastAsia="Calibri"/>
          <w:lang w:eastAsia="en-US"/>
        </w:rPr>
        <w:t xml:space="preserve">250.000.000,00 </w:t>
      </w:r>
      <w:r w:rsidR="00A4294D" w:rsidRPr="009A7CD7">
        <w:rPr>
          <w:rFonts w:eastAsia="Calibri"/>
          <w:lang w:eastAsia="en-US"/>
        </w:rPr>
        <w:t xml:space="preserve">euro, destinati agli interventi rivolti alle persone anziane non autosufficienti, finalizzati all’attuazione dei Livelli </w:t>
      </w:r>
      <w:r w:rsidR="00811792" w:rsidRPr="009A7CD7">
        <w:rPr>
          <w:rFonts w:eastAsia="Calibri"/>
          <w:lang w:eastAsia="en-US"/>
        </w:rPr>
        <w:t>e</w:t>
      </w:r>
      <w:r w:rsidR="00A4294D" w:rsidRPr="009A7CD7">
        <w:rPr>
          <w:rFonts w:eastAsia="Calibri"/>
          <w:lang w:eastAsia="en-US"/>
        </w:rPr>
        <w:t xml:space="preserve">ssenziali delle </w:t>
      </w:r>
      <w:r w:rsidR="00811792" w:rsidRPr="009A7CD7">
        <w:rPr>
          <w:rFonts w:eastAsia="Calibri"/>
          <w:lang w:eastAsia="en-US"/>
        </w:rPr>
        <w:t>p</w:t>
      </w:r>
      <w:r w:rsidR="00A4294D" w:rsidRPr="009A7CD7">
        <w:rPr>
          <w:rFonts w:eastAsia="Calibri"/>
          <w:lang w:eastAsia="en-US"/>
        </w:rPr>
        <w:t xml:space="preserve">restazioni </w:t>
      </w:r>
      <w:r w:rsidR="00811792" w:rsidRPr="009A7CD7">
        <w:rPr>
          <w:rFonts w:eastAsia="Calibri"/>
          <w:lang w:eastAsia="en-US"/>
        </w:rPr>
        <w:t>s</w:t>
      </w:r>
      <w:r w:rsidR="00A4294D" w:rsidRPr="009A7CD7">
        <w:rPr>
          <w:rFonts w:eastAsia="Calibri"/>
          <w:lang w:eastAsia="en-US"/>
        </w:rPr>
        <w:t>ociali (LEPS)</w:t>
      </w:r>
      <w:r w:rsidR="0067085F" w:rsidRPr="009A7CD7">
        <w:rPr>
          <w:rFonts w:eastAsia="Calibri"/>
          <w:lang w:eastAsia="en-US"/>
        </w:rPr>
        <w:t xml:space="preserve"> ai sensi dell’articolo 1, comma 162, </w:t>
      </w:r>
      <w:r w:rsidR="00DC574D" w:rsidRPr="009A7CD7">
        <w:rPr>
          <w:rFonts w:eastAsia="Calibri"/>
          <w:lang w:eastAsia="en-US"/>
        </w:rPr>
        <w:t xml:space="preserve">lettere </w:t>
      </w:r>
      <w:r w:rsidR="00DC574D" w:rsidRPr="009A7CD7">
        <w:rPr>
          <w:rFonts w:eastAsia="Calibri"/>
          <w:i/>
          <w:iCs/>
          <w:lang w:eastAsia="en-US"/>
        </w:rPr>
        <w:t>a)</w:t>
      </w:r>
      <w:r w:rsidR="00DC574D" w:rsidRPr="009A7CD7">
        <w:rPr>
          <w:rFonts w:eastAsia="Calibri"/>
          <w:lang w:eastAsia="en-US"/>
        </w:rPr>
        <w:t xml:space="preserve">, </w:t>
      </w:r>
      <w:r w:rsidR="00DC574D" w:rsidRPr="009A7CD7">
        <w:rPr>
          <w:rFonts w:eastAsia="Calibri"/>
          <w:i/>
          <w:iCs/>
          <w:lang w:eastAsia="en-US"/>
        </w:rPr>
        <w:t>b)</w:t>
      </w:r>
      <w:r w:rsidR="00DC574D" w:rsidRPr="009A7CD7">
        <w:rPr>
          <w:rFonts w:eastAsia="Calibri"/>
          <w:lang w:eastAsia="en-US"/>
        </w:rPr>
        <w:t xml:space="preserve"> e </w:t>
      </w:r>
      <w:r w:rsidR="00DC574D" w:rsidRPr="009A7CD7">
        <w:rPr>
          <w:rFonts w:eastAsia="Calibri"/>
          <w:i/>
          <w:iCs/>
          <w:lang w:eastAsia="en-US"/>
        </w:rPr>
        <w:t>c)</w:t>
      </w:r>
      <w:r w:rsidR="00DC574D" w:rsidRPr="009A7CD7">
        <w:rPr>
          <w:rFonts w:eastAsia="Calibri"/>
          <w:lang w:eastAsia="en-US"/>
        </w:rPr>
        <w:t xml:space="preserve">, </w:t>
      </w:r>
      <w:r w:rsidR="0067085F" w:rsidRPr="009A7CD7">
        <w:rPr>
          <w:rFonts w:eastAsia="Calibri"/>
          <w:lang w:eastAsia="en-US"/>
        </w:rPr>
        <w:t>della legge n. 234/2021</w:t>
      </w:r>
      <w:r w:rsidR="00A4294D" w:rsidRPr="009A7CD7">
        <w:rPr>
          <w:rFonts w:eastAsia="Calibri"/>
          <w:lang w:eastAsia="en-US"/>
        </w:rPr>
        <w:t xml:space="preserve">, </w:t>
      </w:r>
      <w:r w:rsidR="003823C6" w:rsidRPr="009A7CD7">
        <w:rPr>
          <w:rFonts w:eastAsia="Calibri"/>
          <w:lang w:eastAsia="en-US"/>
        </w:rPr>
        <w:t xml:space="preserve">per la realizzazione di </w:t>
      </w:r>
      <w:r w:rsidR="00A4294D" w:rsidRPr="009A7CD7">
        <w:rPr>
          <w:rFonts w:eastAsia="Calibri"/>
          <w:lang w:eastAsia="en-US"/>
        </w:rPr>
        <w:t xml:space="preserve">quanto previsto dal Piano nazionale per l’assistenza e la cura della fragilità e della non </w:t>
      </w:r>
      <w:r w:rsidR="00A4294D" w:rsidRPr="009A7CD7">
        <w:rPr>
          <w:rFonts w:eastAsia="Calibri"/>
          <w:lang w:eastAsia="en-US"/>
        </w:rPr>
        <w:lastRenderedPageBreak/>
        <w:t xml:space="preserve">autosufficienza nella popolazione anziana, di cui all’articolo 2, comma 3, </w:t>
      </w:r>
      <w:r w:rsidR="00DE1DE2" w:rsidRPr="009A7CD7">
        <w:rPr>
          <w:rFonts w:eastAsia="Calibri"/>
          <w:lang w:eastAsia="en-US"/>
        </w:rPr>
        <w:t xml:space="preserve">lettera </w:t>
      </w:r>
      <w:r w:rsidR="00DE1DE2" w:rsidRPr="009A7CD7">
        <w:rPr>
          <w:rFonts w:eastAsia="Calibri"/>
          <w:i/>
          <w:iCs/>
          <w:lang w:eastAsia="en-US"/>
        </w:rPr>
        <w:t>a)</w:t>
      </w:r>
      <w:r w:rsidR="00DE1DE2" w:rsidRPr="009A7CD7">
        <w:rPr>
          <w:rFonts w:eastAsia="Calibri"/>
          <w:lang w:eastAsia="en-US"/>
        </w:rPr>
        <w:t xml:space="preserve">, </w:t>
      </w:r>
      <w:r w:rsidR="00A4294D" w:rsidRPr="009A7CD7">
        <w:rPr>
          <w:rFonts w:eastAsia="Calibri"/>
          <w:lang w:eastAsia="en-US"/>
        </w:rPr>
        <w:t>della legge 23 marzo 2023</w:t>
      </w:r>
      <w:r w:rsidR="001F5D2C" w:rsidRPr="009A7CD7">
        <w:rPr>
          <w:rFonts w:eastAsia="Calibri"/>
          <w:lang w:eastAsia="en-US"/>
        </w:rPr>
        <w:t>, n. 33</w:t>
      </w:r>
      <w:r w:rsidR="00A11D21" w:rsidRPr="009A7CD7">
        <w:rPr>
          <w:rFonts w:eastAsia="Calibri"/>
          <w:lang w:eastAsia="en-US"/>
        </w:rPr>
        <w:t xml:space="preserve">. Tale </w:t>
      </w:r>
      <w:r w:rsidR="001736E0">
        <w:rPr>
          <w:rFonts w:eastAsia="Calibri"/>
          <w:lang w:eastAsia="en-US"/>
        </w:rPr>
        <w:t xml:space="preserve">importo </w:t>
      </w:r>
      <w:r w:rsidR="00A11D21" w:rsidRPr="009A7CD7">
        <w:rPr>
          <w:rFonts w:eastAsia="Calibri"/>
          <w:lang w:eastAsia="en-US"/>
        </w:rPr>
        <w:t>è ripartit</w:t>
      </w:r>
      <w:r w:rsidR="001736E0">
        <w:rPr>
          <w:rFonts w:eastAsia="Calibri"/>
          <w:lang w:eastAsia="en-US"/>
        </w:rPr>
        <w:t>o</w:t>
      </w:r>
      <w:r w:rsidR="00FD6391" w:rsidRPr="009A7CD7">
        <w:rPr>
          <w:rFonts w:eastAsia="Calibri"/>
          <w:lang w:eastAsia="en-US"/>
        </w:rPr>
        <w:t xml:space="preserve"> </w:t>
      </w:r>
      <w:r w:rsidR="00A11D21" w:rsidRPr="009A7CD7">
        <w:rPr>
          <w:rFonts w:eastAsia="Calibri"/>
          <w:lang w:eastAsia="en-US"/>
        </w:rPr>
        <w:t>alle regioni</w:t>
      </w:r>
      <w:r w:rsidR="00FD6391" w:rsidRPr="009A7CD7">
        <w:rPr>
          <w:rFonts w:eastAsia="Calibri"/>
          <w:lang w:eastAsia="en-US"/>
        </w:rPr>
        <w:t xml:space="preserve"> </w:t>
      </w:r>
      <w:r w:rsidR="00A11D21" w:rsidRPr="009A7CD7">
        <w:rPr>
          <w:rFonts w:eastAsia="Calibri"/>
          <w:lang w:eastAsia="en-US"/>
        </w:rPr>
        <w:t>sulla base dei seguenti criteri:</w:t>
      </w:r>
    </w:p>
    <w:p w14:paraId="2D142ADD" w14:textId="68B055AE" w:rsidR="00A11D21" w:rsidRPr="009A7CD7" w:rsidRDefault="00954FE8" w:rsidP="009F19BA">
      <w:pPr>
        <w:pStyle w:val="Paragrafoelenco"/>
        <w:numPr>
          <w:ilvl w:val="0"/>
          <w:numId w:val="28"/>
        </w:numPr>
        <w:spacing w:before="120" w:after="120"/>
        <w:ind w:left="1077" w:hanging="357"/>
        <w:contextualSpacing w:val="0"/>
        <w:jc w:val="both"/>
        <w:rPr>
          <w:rFonts w:eastAsia="Calibri"/>
          <w:lang w:eastAsia="en-US"/>
        </w:rPr>
      </w:pPr>
      <w:r w:rsidRPr="009A7CD7">
        <w:rPr>
          <w:bCs/>
        </w:rPr>
        <w:t>i</w:t>
      </w:r>
      <w:r w:rsidR="00A11D21" w:rsidRPr="009A7CD7">
        <w:rPr>
          <w:bCs/>
        </w:rPr>
        <w:t>l 70% delle risorse disponibili è attribuito sulla base della popolazione anziana</w:t>
      </w:r>
      <w:r w:rsidRPr="009A7CD7">
        <w:rPr>
          <w:bCs/>
        </w:rPr>
        <w:t xml:space="preserve"> residente</w:t>
      </w:r>
      <w:r w:rsidR="00A11D21" w:rsidRPr="009A7CD7">
        <w:rPr>
          <w:bCs/>
        </w:rPr>
        <w:t xml:space="preserve"> di età pari o superiore a 70 anni; </w:t>
      </w:r>
    </w:p>
    <w:p w14:paraId="3A4CA780" w14:textId="7D5CB381" w:rsidR="00A11D21" w:rsidRPr="009A7CD7" w:rsidRDefault="00A11D21" w:rsidP="00A11D21">
      <w:pPr>
        <w:pStyle w:val="Paragrafoelenco"/>
        <w:numPr>
          <w:ilvl w:val="0"/>
          <w:numId w:val="28"/>
        </w:numPr>
        <w:spacing w:before="120"/>
        <w:ind w:hanging="357"/>
        <w:contextualSpacing w:val="0"/>
        <w:jc w:val="both"/>
        <w:rPr>
          <w:rFonts w:eastAsia="Calibri"/>
          <w:lang w:eastAsia="en-US"/>
        </w:rPr>
      </w:pPr>
      <w:r w:rsidRPr="009A7CD7">
        <w:rPr>
          <w:bCs/>
        </w:rPr>
        <w:t>il 30% delle risorse è attribuito in ragione dei soggetti di età pari o superiore a 70 anni</w:t>
      </w:r>
      <w:r w:rsidR="001736E0">
        <w:rPr>
          <w:bCs/>
        </w:rPr>
        <w:t xml:space="preserve"> che siano</w:t>
      </w:r>
      <w:r w:rsidRPr="009A7CD7">
        <w:rPr>
          <w:bCs/>
        </w:rPr>
        <w:t xml:space="preserve"> titolari di indennità di accompagnamento;</w:t>
      </w:r>
    </w:p>
    <w:p w14:paraId="42AF233B" w14:textId="5E41F935" w:rsidR="00954FE8" w:rsidRPr="00251B46" w:rsidRDefault="00A4294D" w:rsidP="00251B46">
      <w:pPr>
        <w:pStyle w:val="Paragrafoelenco"/>
        <w:numPr>
          <w:ilvl w:val="0"/>
          <w:numId w:val="23"/>
        </w:numPr>
        <w:spacing w:before="120"/>
        <w:ind w:hanging="357"/>
        <w:contextualSpacing w:val="0"/>
        <w:jc w:val="both"/>
        <w:rPr>
          <w:rFonts w:eastAsia="Calibri"/>
          <w:lang w:eastAsia="en-US"/>
        </w:rPr>
      </w:pPr>
      <w:r w:rsidRPr="009A7CD7">
        <w:rPr>
          <w:rFonts w:eastAsia="Calibri"/>
          <w:lang w:eastAsia="en-US"/>
        </w:rPr>
        <w:t>50.000.000</w:t>
      </w:r>
      <w:r w:rsidR="00C536C5" w:rsidRPr="009A7CD7">
        <w:rPr>
          <w:rFonts w:eastAsia="Calibri"/>
          <w:lang w:eastAsia="en-US"/>
        </w:rPr>
        <w:t>,00</w:t>
      </w:r>
      <w:r w:rsidRPr="009A7CD7">
        <w:rPr>
          <w:rFonts w:eastAsia="Calibri"/>
          <w:lang w:eastAsia="en-US"/>
        </w:rPr>
        <w:t xml:space="preserve"> euro, </w:t>
      </w:r>
      <w:r w:rsidR="00DC574D" w:rsidRPr="009A7CD7">
        <w:rPr>
          <w:rFonts w:eastAsia="Calibri"/>
          <w:lang w:eastAsia="en-US"/>
        </w:rPr>
        <w:t>quale quota parte delle risorse destinate agli interventi di cui al punto b), specificamente rivolti</w:t>
      </w:r>
      <w:r w:rsidRPr="009A7CD7">
        <w:rPr>
          <w:rFonts w:eastAsia="Calibri"/>
          <w:lang w:eastAsia="en-US"/>
        </w:rPr>
        <w:t xml:space="preserve"> alle assunzioni di personale con professionalità sociale, finalizzate all’implementazione dei PUA</w:t>
      </w:r>
      <w:r w:rsidR="0067085F" w:rsidRPr="009A7CD7">
        <w:rPr>
          <w:rFonts w:eastAsia="Calibri"/>
          <w:lang w:eastAsia="en-US"/>
        </w:rPr>
        <w:t xml:space="preserve">, </w:t>
      </w:r>
      <w:r w:rsidR="00DC574D" w:rsidRPr="009A7CD7">
        <w:rPr>
          <w:rFonts w:eastAsia="Calibri"/>
          <w:lang w:eastAsia="en-US"/>
        </w:rPr>
        <w:t>di cui</w:t>
      </w:r>
      <w:r w:rsidR="0067085F" w:rsidRPr="009A7CD7">
        <w:rPr>
          <w:rFonts w:eastAsia="Calibri"/>
          <w:lang w:eastAsia="en-US"/>
        </w:rPr>
        <w:t xml:space="preserve"> dell’articolo 1, comma 16</w:t>
      </w:r>
      <w:r w:rsidR="00DC574D" w:rsidRPr="009A7CD7">
        <w:rPr>
          <w:rFonts w:eastAsia="Calibri"/>
          <w:lang w:eastAsia="en-US"/>
        </w:rPr>
        <w:t>3</w:t>
      </w:r>
      <w:r w:rsidR="0067085F" w:rsidRPr="009A7CD7">
        <w:rPr>
          <w:rFonts w:eastAsia="Calibri"/>
          <w:lang w:eastAsia="en-US"/>
        </w:rPr>
        <w:t>, della legge n. 234/2021</w:t>
      </w:r>
      <w:r w:rsidRPr="009A7CD7">
        <w:rPr>
          <w:rFonts w:eastAsia="Calibri"/>
          <w:lang w:eastAsia="en-US"/>
        </w:rPr>
        <w:t>.</w:t>
      </w:r>
    </w:p>
    <w:p w14:paraId="12974C78" w14:textId="6AE8884E" w:rsidR="00887CC5" w:rsidRPr="009A7CD7" w:rsidRDefault="008F21FE" w:rsidP="00251B46">
      <w:pPr>
        <w:spacing w:before="120" w:after="160"/>
        <w:jc w:val="both"/>
        <w:rPr>
          <w:rFonts w:eastAsia="Calibri"/>
          <w:lang w:eastAsia="en-US"/>
        </w:rPr>
      </w:pPr>
      <w:r w:rsidRPr="009A7CD7">
        <w:rPr>
          <w:rFonts w:eastAsia="Calibri"/>
          <w:lang w:eastAsia="en-US"/>
        </w:rPr>
        <w:t xml:space="preserve">3. </w:t>
      </w:r>
      <w:r w:rsidR="00AF707C" w:rsidRPr="009A7CD7">
        <w:rPr>
          <w:rFonts w:eastAsia="Calibri"/>
          <w:lang w:eastAsia="en-US"/>
        </w:rPr>
        <w:t xml:space="preserve">La quota indistinta, pari a </w:t>
      </w:r>
      <w:r w:rsidR="003E2C45" w:rsidRPr="009A7CD7">
        <w:rPr>
          <w:rFonts w:eastAsia="Calibri"/>
          <w:lang w:eastAsia="en-US"/>
        </w:rPr>
        <w:t>605.115.000</w:t>
      </w:r>
      <w:r w:rsidRPr="009A7CD7">
        <w:rPr>
          <w:rFonts w:eastAsia="Calibri"/>
          <w:lang w:eastAsia="en-US"/>
        </w:rPr>
        <w:t>,00</w:t>
      </w:r>
      <w:r w:rsidR="0085210C" w:rsidRPr="009A7CD7">
        <w:rPr>
          <w:rFonts w:eastAsia="Calibri"/>
          <w:lang w:eastAsia="en-US"/>
        </w:rPr>
        <w:t xml:space="preserve"> </w:t>
      </w:r>
      <w:r w:rsidR="00B53445" w:rsidRPr="009A7CD7">
        <w:rPr>
          <w:rFonts w:eastAsia="Calibri"/>
          <w:lang w:eastAsia="en-US"/>
        </w:rPr>
        <w:t xml:space="preserve">di </w:t>
      </w:r>
      <w:r w:rsidR="0085210C" w:rsidRPr="009A7CD7">
        <w:rPr>
          <w:rFonts w:eastAsia="Calibri"/>
          <w:lang w:eastAsia="en-US"/>
        </w:rPr>
        <w:t>euro</w:t>
      </w:r>
      <w:r w:rsidR="004879FC" w:rsidRPr="009A7CD7">
        <w:rPr>
          <w:rFonts w:eastAsia="Calibri"/>
          <w:lang w:eastAsia="en-US"/>
        </w:rPr>
        <w:t xml:space="preserve"> per l’annualità 2025, </w:t>
      </w:r>
      <w:r w:rsidR="00387B75" w:rsidRPr="009A7CD7">
        <w:rPr>
          <w:rFonts w:eastAsia="Calibri"/>
          <w:lang w:eastAsia="en-US"/>
        </w:rPr>
        <w:t>619.930.000</w:t>
      </w:r>
      <w:r w:rsidR="002F39AA" w:rsidRPr="009A7CD7">
        <w:rPr>
          <w:rFonts w:eastAsia="Calibri"/>
          <w:lang w:eastAsia="en-US"/>
        </w:rPr>
        <w:t xml:space="preserve">,00 </w:t>
      </w:r>
      <w:r w:rsidR="00387B75" w:rsidRPr="009A7CD7">
        <w:rPr>
          <w:rFonts w:eastAsia="Calibri"/>
          <w:lang w:eastAsia="en-US"/>
        </w:rPr>
        <w:t>di euro per l’annualità 2026 e 793.830.000</w:t>
      </w:r>
      <w:r w:rsidR="002F39AA" w:rsidRPr="009A7CD7">
        <w:rPr>
          <w:rFonts w:eastAsia="Calibri"/>
          <w:lang w:eastAsia="en-US"/>
        </w:rPr>
        <w:t>,00</w:t>
      </w:r>
      <w:r w:rsidR="00387B75" w:rsidRPr="009A7CD7">
        <w:rPr>
          <w:rFonts w:eastAsia="Calibri"/>
          <w:lang w:eastAsia="en-US"/>
        </w:rPr>
        <w:t xml:space="preserve"> per l’annualità 2027</w:t>
      </w:r>
      <w:r w:rsidR="00AF707C" w:rsidRPr="009A7CD7">
        <w:rPr>
          <w:rFonts w:eastAsia="Calibri"/>
          <w:lang w:eastAsia="en-US"/>
        </w:rPr>
        <w:t>, è ripartita alle regioni</w:t>
      </w:r>
      <w:r w:rsidRPr="009A7CD7">
        <w:rPr>
          <w:rFonts w:eastAsia="Calibri"/>
          <w:lang w:eastAsia="en-US"/>
        </w:rPr>
        <w:t xml:space="preserve">, come già richiamato in premessa, sulla base dei seguenti </w:t>
      </w:r>
      <w:r w:rsidR="00AF707C" w:rsidRPr="009A7CD7">
        <w:rPr>
          <w:rFonts w:eastAsia="Calibri"/>
          <w:lang w:eastAsia="en-US"/>
        </w:rPr>
        <w:t>criteri</w:t>
      </w:r>
      <w:r w:rsidRPr="009A7CD7">
        <w:rPr>
          <w:rFonts w:eastAsia="Calibri"/>
          <w:lang w:eastAsia="en-US"/>
        </w:rPr>
        <w:t xml:space="preserve">: </w:t>
      </w:r>
    </w:p>
    <w:p w14:paraId="51D53656" w14:textId="600C8651" w:rsidR="00887CC5" w:rsidRPr="009A7CD7" w:rsidRDefault="00AF707C" w:rsidP="00887CC5">
      <w:pPr>
        <w:pStyle w:val="Paragrafoelenco"/>
        <w:numPr>
          <w:ilvl w:val="0"/>
          <w:numId w:val="26"/>
        </w:numPr>
        <w:spacing w:after="160"/>
        <w:jc w:val="both"/>
        <w:rPr>
          <w:rFonts w:eastAsia="Calibri"/>
          <w:lang w:eastAsia="en-US"/>
        </w:rPr>
      </w:pPr>
      <w:r w:rsidRPr="009A7CD7">
        <w:rPr>
          <w:bCs/>
        </w:rPr>
        <w:t xml:space="preserve">l’80% delle risorse disponibili </w:t>
      </w:r>
      <w:r w:rsidR="008F21FE" w:rsidRPr="009A7CD7">
        <w:rPr>
          <w:bCs/>
        </w:rPr>
        <w:t xml:space="preserve">è attribuito </w:t>
      </w:r>
      <w:r w:rsidRPr="009A7CD7">
        <w:rPr>
          <w:bCs/>
        </w:rPr>
        <w:t xml:space="preserve">sulla base della popolazione anziana </w:t>
      </w:r>
      <w:r w:rsidR="00954FE8" w:rsidRPr="009A7CD7">
        <w:rPr>
          <w:bCs/>
        </w:rPr>
        <w:t xml:space="preserve">residente </w:t>
      </w:r>
      <w:r w:rsidRPr="009A7CD7">
        <w:rPr>
          <w:bCs/>
        </w:rPr>
        <w:t>di età pari o superiore a 75 anni</w:t>
      </w:r>
      <w:r w:rsidR="008F21FE" w:rsidRPr="009A7CD7">
        <w:rPr>
          <w:bCs/>
        </w:rPr>
        <w:t xml:space="preserve">; </w:t>
      </w:r>
    </w:p>
    <w:p w14:paraId="77C8516C" w14:textId="77777777" w:rsidR="00887CC5" w:rsidRPr="009A7CD7" w:rsidRDefault="00AF707C" w:rsidP="00887CC5">
      <w:pPr>
        <w:pStyle w:val="Paragrafoelenco"/>
        <w:numPr>
          <w:ilvl w:val="0"/>
          <w:numId w:val="26"/>
        </w:numPr>
        <w:spacing w:after="160"/>
        <w:jc w:val="both"/>
        <w:rPr>
          <w:rFonts w:eastAsia="Calibri"/>
          <w:lang w:eastAsia="en-US"/>
        </w:rPr>
      </w:pPr>
      <w:r w:rsidRPr="009A7CD7">
        <w:rPr>
          <w:bCs/>
        </w:rPr>
        <w:t xml:space="preserve">il 10% </w:t>
      </w:r>
      <w:r w:rsidR="008F21FE" w:rsidRPr="009A7CD7">
        <w:rPr>
          <w:bCs/>
        </w:rPr>
        <w:t xml:space="preserve">delle risorse è attribuito </w:t>
      </w:r>
      <w:r w:rsidRPr="009A7CD7">
        <w:rPr>
          <w:bCs/>
        </w:rPr>
        <w:t>in ragione dei soggetti titolari di indennità di accompagnamento</w:t>
      </w:r>
      <w:r w:rsidR="00887CC5" w:rsidRPr="009A7CD7">
        <w:rPr>
          <w:bCs/>
        </w:rPr>
        <w:t>;</w:t>
      </w:r>
    </w:p>
    <w:p w14:paraId="0CF33F1F" w14:textId="5E3C4CDC" w:rsidR="00245595" w:rsidRPr="009A7CD7" w:rsidRDefault="00AF707C" w:rsidP="00887CC5">
      <w:pPr>
        <w:pStyle w:val="Paragrafoelenco"/>
        <w:numPr>
          <w:ilvl w:val="0"/>
          <w:numId w:val="26"/>
        </w:numPr>
        <w:spacing w:after="160"/>
        <w:jc w:val="both"/>
        <w:rPr>
          <w:rFonts w:eastAsia="Calibri"/>
          <w:lang w:eastAsia="en-US"/>
        </w:rPr>
      </w:pPr>
      <w:r w:rsidRPr="009A7CD7">
        <w:rPr>
          <w:bCs/>
        </w:rPr>
        <w:t xml:space="preserve">il restante 10% </w:t>
      </w:r>
      <w:r w:rsidR="00BF357B" w:rsidRPr="009A7CD7">
        <w:rPr>
          <w:bCs/>
        </w:rPr>
        <w:t xml:space="preserve">è attribuito </w:t>
      </w:r>
      <w:r w:rsidRPr="009A7CD7">
        <w:rPr>
          <w:bCs/>
        </w:rPr>
        <w:t>in ragione dei soggetti in possesso di una certificazione ai sensi dell’articolo 3, comma 3, della legge n. 104 del 1992.</w:t>
      </w:r>
      <w:r w:rsidRPr="009A7CD7">
        <w:rPr>
          <w:rFonts w:eastAsia="Calibri"/>
          <w:lang w:eastAsia="en-US"/>
        </w:rPr>
        <w:t xml:space="preserve"> </w:t>
      </w:r>
    </w:p>
    <w:p w14:paraId="4D3E2559" w14:textId="0AF3E4F5" w:rsidR="008850D7" w:rsidRPr="009A7CD7" w:rsidRDefault="00245595" w:rsidP="008850D7">
      <w:pPr>
        <w:spacing w:after="160"/>
        <w:contextualSpacing/>
        <w:jc w:val="both"/>
        <w:rPr>
          <w:bCs/>
        </w:rPr>
      </w:pPr>
      <w:r w:rsidRPr="009A7CD7">
        <w:rPr>
          <w:rFonts w:eastAsia="Calibri"/>
          <w:lang w:eastAsia="en-US"/>
        </w:rPr>
        <w:t xml:space="preserve">4. </w:t>
      </w:r>
      <w:r w:rsidR="00AF707C" w:rsidRPr="009A7CD7">
        <w:rPr>
          <w:bCs/>
        </w:rPr>
        <w:t xml:space="preserve">Per il triennio 2025-2027, in considerazione dei tempi tecnici dovuti all’adozione del presente </w:t>
      </w:r>
      <w:r w:rsidR="00AF707C" w:rsidRPr="009A7CD7">
        <w:rPr>
          <w:rFonts w:eastAsia="Calibri"/>
          <w:lang w:eastAsia="en-US"/>
        </w:rPr>
        <w:t>Piano e dell</w:t>
      </w:r>
      <w:r w:rsidR="008850D7" w:rsidRPr="009A7CD7">
        <w:rPr>
          <w:rFonts w:eastAsia="Calibri"/>
          <w:lang w:eastAsia="en-US"/>
        </w:rPr>
        <w:t xml:space="preserve">a progressiva attuazione </w:t>
      </w:r>
      <w:r w:rsidR="00AF707C" w:rsidRPr="009A7CD7">
        <w:rPr>
          <w:rFonts w:eastAsia="Calibri"/>
          <w:lang w:eastAsia="en-US"/>
        </w:rPr>
        <w:t xml:space="preserve">delle </w:t>
      </w:r>
      <w:r w:rsidR="008850D7" w:rsidRPr="009A7CD7">
        <w:rPr>
          <w:rFonts w:eastAsia="Calibri"/>
          <w:lang w:eastAsia="en-US"/>
        </w:rPr>
        <w:t xml:space="preserve">recenti </w:t>
      </w:r>
      <w:r w:rsidR="00AF707C" w:rsidRPr="009A7CD7">
        <w:rPr>
          <w:rFonts w:eastAsia="Calibri"/>
          <w:lang w:eastAsia="en-US"/>
        </w:rPr>
        <w:t>riforme</w:t>
      </w:r>
      <w:r w:rsidR="008850D7" w:rsidRPr="009A7CD7">
        <w:rPr>
          <w:rFonts w:eastAsia="Calibri"/>
          <w:lang w:eastAsia="en-US"/>
        </w:rPr>
        <w:t>,</w:t>
      </w:r>
      <w:r w:rsidR="00AF707C" w:rsidRPr="009A7CD7">
        <w:rPr>
          <w:rFonts w:eastAsia="Calibri"/>
          <w:lang w:eastAsia="en-US"/>
        </w:rPr>
        <w:t xml:space="preserve"> </w:t>
      </w:r>
      <w:r w:rsidR="008850D7" w:rsidRPr="009A7CD7">
        <w:rPr>
          <w:rFonts w:eastAsia="Calibri"/>
          <w:lang w:eastAsia="en-US"/>
        </w:rPr>
        <w:t xml:space="preserve">rispettivamente </w:t>
      </w:r>
      <w:r w:rsidR="00AF707C" w:rsidRPr="009A7CD7">
        <w:rPr>
          <w:rFonts w:eastAsia="Calibri"/>
          <w:lang w:eastAsia="en-US"/>
        </w:rPr>
        <w:t xml:space="preserve">in materia </w:t>
      </w:r>
      <w:r w:rsidR="008850D7" w:rsidRPr="009A7CD7">
        <w:rPr>
          <w:rFonts w:eastAsia="Calibri"/>
          <w:lang w:eastAsia="en-US"/>
        </w:rPr>
        <w:t xml:space="preserve">di politiche in favore delle persone anziane ai sensi della legge n. 33 del 23 marzo 2023 e delle persone con </w:t>
      </w:r>
      <w:r w:rsidR="003B1F0A" w:rsidRPr="009A7CD7">
        <w:rPr>
          <w:rFonts w:eastAsia="Calibri"/>
          <w:lang w:eastAsia="en-US"/>
        </w:rPr>
        <w:t xml:space="preserve">disabilità </w:t>
      </w:r>
      <w:r w:rsidR="00020577" w:rsidRPr="009A7CD7">
        <w:rPr>
          <w:rFonts w:eastAsia="Calibri"/>
          <w:lang w:eastAsia="en-US"/>
        </w:rPr>
        <w:t>ai sensi del decreto legislativo n. 62 del 2024</w:t>
      </w:r>
      <w:r w:rsidR="00AF707C" w:rsidRPr="009A7CD7">
        <w:rPr>
          <w:rFonts w:eastAsia="Calibri"/>
          <w:lang w:eastAsia="en-US"/>
        </w:rPr>
        <w:t xml:space="preserve">, </w:t>
      </w:r>
      <w:r w:rsidR="00131E18" w:rsidRPr="009A7CD7">
        <w:rPr>
          <w:rFonts w:eastAsia="Calibri"/>
          <w:lang w:eastAsia="en-US"/>
        </w:rPr>
        <w:t xml:space="preserve">la quota indistinta </w:t>
      </w:r>
      <w:r w:rsidR="008850D7" w:rsidRPr="009A7CD7">
        <w:rPr>
          <w:rFonts w:eastAsia="Calibri"/>
          <w:lang w:eastAsia="en-US"/>
        </w:rPr>
        <w:t>è</w:t>
      </w:r>
      <w:r w:rsidR="00131E18" w:rsidRPr="009A7CD7">
        <w:rPr>
          <w:rFonts w:eastAsia="Calibri"/>
          <w:lang w:eastAsia="en-US"/>
        </w:rPr>
        <w:t xml:space="preserve"> programmata dalle </w:t>
      </w:r>
      <w:r w:rsidR="008850D7" w:rsidRPr="009A7CD7">
        <w:rPr>
          <w:rFonts w:eastAsia="Calibri"/>
          <w:lang w:eastAsia="en-US"/>
        </w:rPr>
        <w:t>r</w:t>
      </w:r>
      <w:r w:rsidR="00131E18" w:rsidRPr="009A7CD7">
        <w:rPr>
          <w:rFonts w:eastAsia="Calibri"/>
          <w:lang w:eastAsia="en-US"/>
        </w:rPr>
        <w:t>egioni in funzione delle specificità de</w:t>
      </w:r>
      <w:r w:rsidR="008850D7" w:rsidRPr="009A7CD7">
        <w:rPr>
          <w:rFonts w:eastAsia="Calibri"/>
          <w:lang w:eastAsia="en-US"/>
        </w:rPr>
        <w:t xml:space="preserve">i diversi contesti territoriali, </w:t>
      </w:r>
      <w:r w:rsidR="00131E18" w:rsidRPr="009A7CD7">
        <w:rPr>
          <w:rFonts w:eastAsia="Calibri"/>
          <w:lang w:eastAsia="en-US"/>
        </w:rPr>
        <w:t>tenendo conto delle esigenze delle persone con disabilità in condizione di non autosufficienza e delle persone anziane non autosufficienti</w:t>
      </w:r>
      <w:r w:rsidR="00C96792" w:rsidRPr="009A7CD7">
        <w:rPr>
          <w:rFonts w:eastAsia="Calibri"/>
          <w:lang w:eastAsia="en-US"/>
        </w:rPr>
        <w:t xml:space="preserve">, nonché </w:t>
      </w:r>
      <w:r w:rsidR="007E1525" w:rsidRPr="009A7CD7">
        <w:rPr>
          <w:rFonts w:eastAsia="Calibri"/>
          <w:lang w:eastAsia="en-US"/>
        </w:rPr>
        <w:t xml:space="preserve">della </w:t>
      </w:r>
      <w:r w:rsidR="00E6132D" w:rsidRPr="009A7CD7">
        <w:rPr>
          <w:rFonts w:eastAsia="Calibri"/>
          <w:lang w:eastAsia="en-US"/>
        </w:rPr>
        <w:t xml:space="preserve">necessità di garantire la </w:t>
      </w:r>
      <w:r w:rsidR="007E1525" w:rsidRPr="009A7CD7">
        <w:rPr>
          <w:rFonts w:eastAsia="Calibri"/>
          <w:lang w:eastAsia="en-US"/>
        </w:rPr>
        <w:t>continuità dei servizi e dei sostegni già assicurati a carico delle precedenti programmazioni</w:t>
      </w:r>
      <w:r w:rsidR="00131E18" w:rsidRPr="009A7CD7">
        <w:rPr>
          <w:rFonts w:eastAsia="Calibri"/>
          <w:lang w:eastAsia="en-US"/>
        </w:rPr>
        <w:t>.</w:t>
      </w:r>
      <w:r w:rsidR="008850D7" w:rsidRPr="009A7CD7">
        <w:rPr>
          <w:rFonts w:eastAsia="Calibri"/>
          <w:lang w:eastAsia="en-US"/>
        </w:rPr>
        <w:t xml:space="preserve"> </w:t>
      </w:r>
      <w:r w:rsidR="00131E18" w:rsidRPr="009A7CD7">
        <w:rPr>
          <w:rFonts w:eastAsia="Calibri"/>
          <w:lang w:eastAsia="en-US"/>
        </w:rPr>
        <w:t xml:space="preserve">Per quanto concerne </w:t>
      </w:r>
      <w:r w:rsidR="002D35D3" w:rsidRPr="009A7CD7">
        <w:rPr>
          <w:rFonts w:eastAsia="Calibri"/>
          <w:lang w:eastAsia="en-US"/>
        </w:rPr>
        <w:t xml:space="preserve">tale ultima platea, </w:t>
      </w:r>
      <w:r w:rsidR="00131E18" w:rsidRPr="009A7CD7">
        <w:rPr>
          <w:rFonts w:eastAsia="Calibri"/>
          <w:lang w:eastAsia="en-US"/>
        </w:rPr>
        <w:t>la programmazione</w:t>
      </w:r>
      <w:r w:rsidR="000150DD" w:rsidRPr="009A7CD7">
        <w:rPr>
          <w:rFonts w:eastAsia="Calibri"/>
          <w:lang w:eastAsia="en-US"/>
        </w:rPr>
        <w:t xml:space="preserve"> regionale </w:t>
      </w:r>
      <w:r w:rsidR="002D35D3" w:rsidRPr="009A7CD7">
        <w:rPr>
          <w:rFonts w:eastAsia="Calibri"/>
          <w:lang w:eastAsia="en-US"/>
        </w:rPr>
        <w:t xml:space="preserve">è </w:t>
      </w:r>
      <w:r w:rsidR="000150DD" w:rsidRPr="009A7CD7">
        <w:rPr>
          <w:rFonts w:eastAsia="Calibri"/>
          <w:lang w:eastAsia="en-US"/>
        </w:rPr>
        <w:t xml:space="preserve">definita </w:t>
      </w:r>
      <w:r w:rsidR="002D35D3" w:rsidRPr="009A7CD7">
        <w:rPr>
          <w:rFonts w:eastAsia="Calibri"/>
          <w:lang w:eastAsia="en-US"/>
        </w:rPr>
        <w:t xml:space="preserve">anche </w:t>
      </w:r>
      <w:r w:rsidR="000308BA" w:rsidRPr="009A7CD7">
        <w:rPr>
          <w:rFonts w:eastAsia="Calibri"/>
          <w:lang w:eastAsia="en-US"/>
        </w:rPr>
        <w:t>in coerenza con quanto previsto dal Piano nazionale per l</w:t>
      </w:r>
      <w:r w:rsidR="002D35D3" w:rsidRPr="009A7CD7">
        <w:rPr>
          <w:rFonts w:eastAsia="Calibri"/>
          <w:lang w:eastAsia="en-US"/>
        </w:rPr>
        <w:t>’</w:t>
      </w:r>
      <w:r w:rsidR="000308BA" w:rsidRPr="009A7CD7">
        <w:rPr>
          <w:rFonts w:eastAsia="Calibri"/>
          <w:lang w:eastAsia="en-US"/>
        </w:rPr>
        <w:t>assistenza e la cura della fragilità e della non autosufficienza nella popolazione anziana</w:t>
      </w:r>
      <w:r w:rsidR="002D35D3" w:rsidRPr="009A7CD7">
        <w:rPr>
          <w:rFonts w:eastAsia="Calibri"/>
          <w:lang w:eastAsia="en-US"/>
        </w:rPr>
        <w:t>, da adottarsi ai sensi</w:t>
      </w:r>
      <w:r w:rsidR="00DE1DE2" w:rsidRPr="009A7CD7">
        <w:rPr>
          <w:rFonts w:eastAsia="Calibri"/>
          <w:lang w:eastAsia="en-US"/>
        </w:rPr>
        <w:t xml:space="preserve"> dell’articolo 2, comma 3, lettera a), della legge n. 33 del 23 marzo 2023</w:t>
      </w:r>
      <w:r w:rsidR="002D35D3" w:rsidRPr="009A7CD7">
        <w:rPr>
          <w:rFonts w:eastAsia="Calibri"/>
          <w:lang w:eastAsia="en-US"/>
        </w:rPr>
        <w:t>.</w:t>
      </w:r>
    </w:p>
    <w:p w14:paraId="3C9E1C8D" w14:textId="6C6EBD1C" w:rsidR="004915A2" w:rsidRPr="009A7CD7" w:rsidRDefault="008850D7" w:rsidP="00153596">
      <w:pPr>
        <w:spacing w:after="160"/>
        <w:contextualSpacing/>
        <w:jc w:val="both"/>
        <w:rPr>
          <w:bCs/>
        </w:rPr>
      </w:pPr>
      <w:r w:rsidRPr="009A7CD7">
        <w:rPr>
          <w:bCs/>
        </w:rPr>
        <w:lastRenderedPageBreak/>
        <w:t>5.</w:t>
      </w:r>
      <w:r w:rsidR="0072249F" w:rsidRPr="009A7CD7">
        <w:rPr>
          <w:bCs/>
        </w:rPr>
        <w:t xml:space="preserve"> Fino all’adozione degli interventi legislativi richiamati </w:t>
      </w:r>
      <w:r w:rsidR="00693D94" w:rsidRPr="009A7CD7">
        <w:rPr>
          <w:bCs/>
        </w:rPr>
        <w:t xml:space="preserve">all’articolo 1, comma 334, della legge 30 dicembre 2020, n. 178, </w:t>
      </w:r>
      <w:r w:rsidR="0072249F" w:rsidRPr="009A7CD7">
        <w:rPr>
          <w:bCs/>
        </w:rPr>
        <w:t xml:space="preserve">le risorse finanziarie indicate al medesimo comma 334 integrano </w:t>
      </w:r>
      <w:r w:rsidR="00AF707C" w:rsidRPr="009A7CD7">
        <w:rPr>
          <w:bCs/>
        </w:rPr>
        <w:t>le risorse di cui al comma 1</w:t>
      </w:r>
      <w:r w:rsidR="008447A5" w:rsidRPr="009A7CD7">
        <w:rPr>
          <w:bCs/>
        </w:rPr>
        <w:t xml:space="preserve">, </w:t>
      </w:r>
      <w:r w:rsidR="00AF707C" w:rsidRPr="009A7CD7">
        <w:rPr>
          <w:bCs/>
        </w:rPr>
        <w:t>ai sensi l’articolo 1, comma 235, della legge n. 207 del 2024</w:t>
      </w:r>
      <w:r w:rsidR="008447A5" w:rsidRPr="009A7CD7">
        <w:rPr>
          <w:bCs/>
        </w:rPr>
        <w:t>,</w:t>
      </w:r>
      <w:r w:rsidR="00AF707C" w:rsidRPr="009A7CD7">
        <w:rPr>
          <w:bCs/>
        </w:rPr>
        <w:t xml:space="preserve"> </w:t>
      </w:r>
      <w:r w:rsidR="0072249F" w:rsidRPr="009A7CD7">
        <w:rPr>
          <w:bCs/>
        </w:rPr>
        <w:t xml:space="preserve">per le </w:t>
      </w:r>
      <w:r w:rsidR="00AF707C" w:rsidRPr="009A7CD7">
        <w:rPr>
          <w:bCs/>
        </w:rPr>
        <w:t xml:space="preserve">medesime finalità del </w:t>
      </w:r>
      <w:r w:rsidR="001C41E2" w:rsidRPr="009A7CD7">
        <w:rPr>
          <w:bCs/>
        </w:rPr>
        <w:t>F</w:t>
      </w:r>
      <w:r w:rsidR="0072249F" w:rsidRPr="009A7CD7">
        <w:rPr>
          <w:bCs/>
        </w:rPr>
        <w:t xml:space="preserve">ondo per le non autosufficienze, </w:t>
      </w:r>
      <w:r w:rsidR="001C41E2" w:rsidRPr="009A7CD7">
        <w:rPr>
          <w:bCs/>
        </w:rPr>
        <w:t>p</w:t>
      </w:r>
      <w:r w:rsidR="00AF707C" w:rsidRPr="009A7CD7">
        <w:rPr>
          <w:bCs/>
        </w:rPr>
        <w:t>er l</w:t>
      </w:r>
      <w:r w:rsidR="0072249F" w:rsidRPr="009A7CD7">
        <w:rPr>
          <w:bCs/>
        </w:rPr>
        <w:t>’</w:t>
      </w:r>
      <w:r w:rsidR="00AF707C" w:rsidRPr="009A7CD7">
        <w:rPr>
          <w:bCs/>
        </w:rPr>
        <w:t>erogazione dei servizi socioassistenziali nelle aree di cui all</w:t>
      </w:r>
      <w:r w:rsidR="0072249F" w:rsidRPr="009A7CD7">
        <w:rPr>
          <w:bCs/>
        </w:rPr>
        <w:t>’</w:t>
      </w:r>
      <w:r w:rsidR="00AF707C" w:rsidRPr="009A7CD7">
        <w:rPr>
          <w:bCs/>
        </w:rPr>
        <w:t xml:space="preserve">articolo 1, comma 162, lettere </w:t>
      </w:r>
      <w:r w:rsidR="00AF707C" w:rsidRPr="009A7CD7">
        <w:rPr>
          <w:bCs/>
          <w:i/>
          <w:iCs/>
        </w:rPr>
        <w:t>a)</w:t>
      </w:r>
      <w:r w:rsidR="00AF707C" w:rsidRPr="009A7CD7">
        <w:rPr>
          <w:bCs/>
        </w:rPr>
        <w:t xml:space="preserve">, </w:t>
      </w:r>
      <w:r w:rsidR="00AF707C" w:rsidRPr="009A7CD7">
        <w:rPr>
          <w:bCs/>
          <w:i/>
          <w:iCs/>
        </w:rPr>
        <w:t>b)</w:t>
      </w:r>
      <w:r w:rsidR="00AF707C" w:rsidRPr="009A7CD7">
        <w:rPr>
          <w:bCs/>
        </w:rPr>
        <w:t xml:space="preserve"> e </w:t>
      </w:r>
      <w:r w:rsidR="00AF707C" w:rsidRPr="009A7CD7">
        <w:rPr>
          <w:bCs/>
          <w:i/>
          <w:iCs/>
        </w:rPr>
        <w:t>c)</w:t>
      </w:r>
      <w:r w:rsidR="00AF707C" w:rsidRPr="009A7CD7">
        <w:rPr>
          <w:bCs/>
        </w:rPr>
        <w:t xml:space="preserve">, della legge 30 dicembre 2021, n. 234. </w:t>
      </w:r>
      <w:r w:rsidR="007F6161" w:rsidRPr="009A7CD7">
        <w:rPr>
          <w:bCs/>
        </w:rPr>
        <w:t>In particolare, p</w:t>
      </w:r>
      <w:r w:rsidR="00C473D0" w:rsidRPr="009A7CD7">
        <w:rPr>
          <w:bCs/>
        </w:rPr>
        <w:t xml:space="preserve">er l’annualità 2025 </w:t>
      </w:r>
      <w:r w:rsidR="007F6161" w:rsidRPr="009A7CD7">
        <w:rPr>
          <w:bCs/>
        </w:rPr>
        <w:t xml:space="preserve">la somma di euro </w:t>
      </w:r>
      <w:r w:rsidR="00644BBE" w:rsidRPr="009A7CD7">
        <w:rPr>
          <w:bCs/>
        </w:rPr>
        <w:t>15</w:t>
      </w:r>
      <w:r w:rsidR="001061B0" w:rsidRPr="009A7CD7">
        <w:rPr>
          <w:bCs/>
        </w:rPr>
        <w:t>.686.593</w:t>
      </w:r>
      <w:r w:rsidR="00C536C5" w:rsidRPr="009A7CD7">
        <w:rPr>
          <w:bCs/>
        </w:rPr>
        <w:t>,00</w:t>
      </w:r>
      <w:r w:rsidR="007F6161" w:rsidRPr="009A7CD7">
        <w:rPr>
          <w:bCs/>
        </w:rPr>
        <w:t xml:space="preserve"> </w:t>
      </w:r>
      <w:r w:rsidR="00C473D0" w:rsidRPr="009A7CD7">
        <w:rPr>
          <w:bCs/>
        </w:rPr>
        <w:t xml:space="preserve">è </w:t>
      </w:r>
      <w:r w:rsidR="007F6161" w:rsidRPr="009A7CD7">
        <w:rPr>
          <w:bCs/>
        </w:rPr>
        <w:t>ripartita alle regioni per compensare</w:t>
      </w:r>
      <w:r w:rsidR="00FF5658" w:rsidRPr="009A7CD7">
        <w:rPr>
          <w:bCs/>
        </w:rPr>
        <w:t>, in fase di prima applicazione,</w:t>
      </w:r>
      <w:r w:rsidR="007F6161" w:rsidRPr="009A7CD7">
        <w:rPr>
          <w:bCs/>
        </w:rPr>
        <w:t xml:space="preserve"> gli effetti </w:t>
      </w:r>
      <w:r w:rsidR="005B6B2F" w:rsidRPr="009A7CD7">
        <w:rPr>
          <w:bCs/>
        </w:rPr>
        <w:t>de</w:t>
      </w:r>
      <w:r w:rsidR="00C473D0" w:rsidRPr="009A7CD7">
        <w:rPr>
          <w:bCs/>
        </w:rPr>
        <w:t>i nuovi criteri di riparto</w:t>
      </w:r>
      <w:r w:rsidR="007F6161" w:rsidRPr="009A7CD7">
        <w:rPr>
          <w:bCs/>
        </w:rPr>
        <w:t xml:space="preserve"> e garantire la necessaria continuità </w:t>
      </w:r>
      <w:r w:rsidR="00AF707C" w:rsidRPr="009A7CD7">
        <w:rPr>
          <w:bCs/>
        </w:rPr>
        <w:t xml:space="preserve">degli interventi assistenziali già previsti e </w:t>
      </w:r>
      <w:r w:rsidR="007F6161" w:rsidRPr="009A7CD7">
        <w:rPr>
          <w:bCs/>
        </w:rPr>
        <w:t xml:space="preserve">realizzati a livello territoriale. </w:t>
      </w:r>
      <w:r w:rsidR="00A74DA2" w:rsidRPr="009A7CD7">
        <w:rPr>
          <w:rFonts w:cstheme="minorHAnsi"/>
          <w:bCs/>
        </w:rPr>
        <w:t xml:space="preserve">Le ulteriori risorse disponibili pari ad euro </w:t>
      </w:r>
      <w:r w:rsidR="00A74DA2" w:rsidRPr="009A7CD7">
        <w:rPr>
          <w:rFonts w:cs="Calibri"/>
          <w:color w:val="000000"/>
        </w:rPr>
        <w:t>46.813.407,00</w:t>
      </w:r>
      <w:r w:rsidR="00A74DA2" w:rsidRPr="009A7CD7">
        <w:rPr>
          <w:rFonts w:cstheme="minorHAnsi"/>
          <w:bCs/>
        </w:rPr>
        <w:t xml:space="preserve"> sono destinate alla platea degli anziani non autosufficienti sulla base dei criteri individuati </w:t>
      </w:r>
      <w:r w:rsidR="00A74DA2" w:rsidRPr="009A7CD7">
        <w:rPr>
          <w:rFonts w:eastAsia="Calibri" w:cstheme="minorHAnsi"/>
        </w:rPr>
        <w:t>per la realizzazione degli interventi dei LEPS</w:t>
      </w:r>
      <w:r w:rsidR="00826533" w:rsidRPr="009A7CD7">
        <w:rPr>
          <w:rFonts w:eastAsia="Calibri" w:cstheme="minorHAnsi"/>
        </w:rPr>
        <w:t xml:space="preserve">, di cui all’articolo 2, comma 2, lettera </w:t>
      </w:r>
      <w:r w:rsidR="00826533" w:rsidRPr="009A7CD7">
        <w:rPr>
          <w:rFonts w:eastAsia="Calibri" w:cstheme="minorHAnsi"/>
          <w:i/>
          <w:iCs/>
        </w:rPr>
        <w:t>b)</w:t>
      </w:r>
      <w:r w:rsidR="00826533" w:rsidRPr="009A7CD7">
        <w:rPr>
          <w:rFonts w:eastAsia="Calibri" w:cstheme="minorHAnsi"/>
        </w:rPr>
        <w:t>.</w:t>
      </w:r>
      <w:r w:rsidR="0080341D" w:rsidRPr="009A7CD7">
        <w:rPr>
          <w:bCs/>
        </w:rPr>
        <w:t xml:space="preserve"> </w:t>
      </w:r>
      <w:r w:rsidR="005B6B2F" w:rsidRPr="009A7CD7">
        <w:rPr>
          <w:bCs/>
        </w:rPr>
        <w:t xml:space="preserve">Per l’annualità 2026, nella prospettiva </w:t>
      </w:r>
      <w:r w:rsidR="00AF707C" w:rsidRPr="009A7CD7">
        <w:rPr>
          <w:bCs/>
        </w:rPr>
        <w:t xml:space="preserve">dell’adozione degli interventi legislativi </w:t>
      </w:r>
      <w:r w:rsidR="005B6B2F" w:rsidRPr="009A7CD7">
        <w:rPr>
          <w:bCs/>
        </w:rPr>
        <w:t>richiamati al primo periodo, a valere sulle medesime risorse di cui all’articolo</w:t>
      </w:r>
      <w:r w:rsidR="00C84281" w:rsidRPr="009A7CD7">
        <w:rPr>
          <w:bCs/>
        </w:rPr>
        <w:t xml:space="preserve"> 1, comma 235, della legge n. 207 del 2024</w:t>
      </w:r>
      <w:r w:rsidR="005B6B2F" w:rsidRPr="009A7CD7">
        <w:rPr>
          <w:bCs/>
        </w:rPr>
        <w:t xml:space="preserve">, è </w:t>
      </w:r>
      <w:r w:rsidR="004915A2" w:rsidRPr="009A7CD7">
        <w:rPr>
          <w:bCs/>
        </w:rPr>
        <w:t xml:space="preserve">ripartita </w:t>
      </w:r>
      <w:r w:rsidR="005B6B2F" w:rsidRPr="009A7CD7">
        <w:rPr>
          <w:bCs/>
        </w:rPr>
        <w:t xml:space="preserve">alle regioni la somma di euro </w:t>
      </w:r>
      <w:r w:rsidR="00293C50" w:rsidRPr="009A7CD7">
        <w:rPr>
          <w:bCs/>
        </w:rPr>
        <w:t>9.007.893</w:t>
      </w:r>
      <w:r w:rsidR="00C536C5" w:rsidRPr="009A7CD7">
        <w:rPr>
          <w:bCs/>
        </w:rPr>
        <w:t>,00</w:t>
      </w:r>
      <w:r w:rsidR="005B6B2F" w:rsidRPr="009A7CD7">
        <w:rPr>
          <w:bCs/>
        </w:rPr>
        <w:t xml:space="preserve"> all’analogo fine di compensare gli effetti dell’applicazione dei nuovi criteri di riparto e di garantire la necessaria continuità degli interventi assistenziali programmati a livello territoriale.</w:t>
      </w:r>
      <w:r w:rsidR="004915A2" w:rsidRPr="009A7CD7">
        <w:rPr>
          <w:bCs/>
        </w:rPr>
        <w:t xml:space="preserve"> Con successivo decreto del Ministro </w:t>
      </w:r>
      <w:r w:rsidR="00826533" w:rsidRPr="009A7CD7">
        <w:rPr>
          <w:bCs/>
        </w:rPr>
        <w:t>dell’economia e</w:t>
      </w:r>
      <w:r w:rsidR="004915A2" w:rsidRPr="009A7CD7">
        <w:rPr>
          <w:bCs/>
        </w:rPr>
        <w:t xml:space="preserve"> delle finanze si procede a disporre la </w:t>
      </w:r>
      <w:r w:rsidR="009468C6" w:rsidRPr="009A7CD7">
        <w:rPr>
          <w:bCs/>
        </w:rPr>
        <w:t xml:space="preserve">relativa </w:t>
      </w:r>
      <w:r w:rsidR="004915A2" w:rsidRPr="009A7CD7">
        <w:rPr>
          <w:bCs/>
        </w:rPr>
        <w:t>variazione compensativa</w:t>
      </w:r>
      <w:r w:rsidR="009468C6" w:rsidRPr="009A7CD7">
        <w:rPr>
          <w:bCs/>
        </w:rPr>
        <w:t>,</w:t>
      </w:r>
      <w:r w:rsidR="004915A2" w:rsidRPr="009A7CD7">
        <w:rPr>
          <w:bCs/>
        </w:rPr>
        <w:t xml:space="preserve"> in termini di cassa e competenza</w:t>
      </w:r>
      <w:r w:rsidR="009468C6" w:rsidRPr="009A7CD7">
        <w:rPr>
          <w:bCs/>
        </w:rPr>
        <w:t>,</w:t>
      </w:r>
      <w:r w:rsidR="004915A2" w:rsidRPr="009A7CD7">
        <w:rPr>
          <w:bCs/>
        </w:rPr>
        <w:t xml:space="preserve"> dal capitolo 3555 al capitolo 3538 per l’esercizio finanziario 2026</w:t>
      </w:r>
      <w:r w:rsidR="009468C6" w:rsidRPr="009A7CD7">
        <w:rPr>
          <w:bCs/>
        </w:rPr>
        <w:t>.</w:t>
      </w:r>
    </w:p>
    <w:p w14:paraId="4C079C21" w14:textId="785687DA" w:rsidR="00D11616" w:rsidRPr="009A7CD7" w:rsidRDefault="00153596" w:rsidP="00D11616">
      <w:pPr>
        <w:spacing w:after="160"/>
        <w:contextualSpacing/>
        <w:jc w:val="both"/>
        <w:rPr>
          <w:bCs/>
          <w:color w:val="FF0000"/>
        </w:rPr>
      </w:pPr>
      <w:r w:rsidRPr="009A7CD7">
        <w:rPr>
          <w:rFonts w:eastAsia="Calibri"/>
          <w:lang w:eastAsia="en-US"/>
        </w:rPr>
        <w:t xml:space="preserve">6. </w:t>
      </w:r>
      <w:r w:rsidR="00AF707C" w:rsidRPr="009A7CD7">
        <w:rPr>
          <w:rFonts w:eastAsia="Calibri"/>
          <w:lang w:eastAsia="en-US"/>
        </w:rPr>
        <w:t xml:space="preserve">Le somme ripartite alle regioni </w:t>
      </w:r>
      <w:r w:rsidR="00D11616" w:rsidRPr="009A7CD7">
        <w:rPr>
          <w:rFonts w:eastAsia="Calibri"/>
          <w:lang w:eastAsia="en-US"/>
        </w:rPr>
        <w:t xml:space="preserve">per le </w:t>
      </w:r>
      <w:r w:rsidR="00AF707C" w:rsidRPr="009A7CD7">
        <w:rPr>
          <w:rFonts w:eastAsia="Calibri"/>
          <w:lang w:eastAsia="en-US"/>
        </w:rPr>
        <w:t>annualità 2025, 2026 e 2027 sono indicate rispettivamente nell</w:t>
      </w:r>
      <w:r w:rsidR="00EE65ED" w:rsidRPr="009A7CD7">
        <w:rPr>
          <w:rFonts w:eastAsia="Calibri"/>
          <w:lang w:eastAsia="en-US"/>
        </w:rPr>
        <w:t>a</w:t>
      </w:r>
      <w:r w:rsidR="004426A7" w:rsidRPr="009A7CD7">
        <w:rPr>
          <w:rFonts w:eastAsia="Calibri"/>
          <w:lang w:eastAsia="en-US"/>
        </w:rPr>
        <w:t xml:space="preserve"> colonna</w:t>
      </w:r>
      <w:r w:rsidR="00AF707C" w:rsidRPr="009A7CD7">
        <w:rPr>
          <w:rFonts w:eastAsia="Calibri"/>
          <w:lang w:eastAsia="en-US"/>
        </w:rPr>
        <w:t xml:space="preserve"> </w:t>
      </w:r>
      <w:r w:rsidR="00EE65ED" w:rsidRPr="009A7CD7">
        <w:rPr>
          <w:rFonts w:eastAsia="Calibri"/>
          <w:lang w:eastAsia="en-US"/>
        </w:rPr>
        <w:t>“Importo quota indistinta”</w:t>
      </w:r>
      <w:r w:rsidR="00AF707C" w:rsidRPr="009A7CD7">
        <w:rPr>
          <w:rFonts w:eastAsia="Calibri"/>
          <w:lang w:eastAsia="en-US"/>
        </w:rPr>
        <w:t xml:space="preserve"> della Tabella 1, al netto delle quote di cui al comma 2 del presente articolo. Le regioni procedono al trasferimento delle risorse a</w:t>
      </w:r>
      <w:r w:rsidR="00D11616" w:rsidRPr="009A7CD7">
        <w:rPr>
          <w:rFonts w:eastAsia="Calibri"/>
          <w:lang w:eastAsia="en-US"/>
        </w:rPr>
        <w:t xml:space="preserve">i rispettivi </w:t>
      </w:r>
      <w:r w:rsidR="00AF707C" w:rsidRPr="009A7CD7">
        <w:rPr>
          <w:rFonts w:eastAsia="Calibri"/>
          <w:lang w:eastAsia="en-US"/>
        </w:rPr>
        <w:t>ambiti territoriali</w:t>
      </w:r>
      <w:r w:rsidR="00331447" w:rsidRPr="009A7CD7">
        <w:rPr>
          <w:rFonts w:eastAsia="Calibri"/>
          <w:lang w:eastAsia="en-US"/>
        </w:rPr>
        <w:t xml:space="preserve"> sociali</w:t>
      </w:r>
      <w:r w:rsidR="00AF707C" w:rsidRPr="009A7CD7">
        <w:rPr>
          <w:rFonts w:eastAsia="Calibri"/>
          <w:lang w:eastAsia="en-US"/>
        </w:rPr>
        <w:t xml:space="preserve">, secondo quanto previsto nella programmazione regionale, entro </w:t>
      </w:r>
      <w:r w:rsidR="00D11616" w:rsidRPr="009A7CD7">
        <w:rPr>
          <w:rFonts w:eastAsia="Calibri"/>
          <w:lang w:eastAsia="en-US"/>
        </w:rPr>
        <w:t xml:space="preserve">sessanta </w:t>
      </w:r>
      <w:r w:rsidR="00AF707C" w:rsidRPr="009A7CD7">
        <w:rPr>
          <w:rFonts w:eastAsia="Calibri"/>
          <w:lang w:eastAsia="en-US"/>
        </w:rPr>
        <w:t>giorni dall’effettivo trasferimento da parte del Ministero del lavoro e delle politiche sociali. L’erogazione agli ambiti territoriali</w:t>
      </w:r>
      <w:r w:rsidR="00331447" w:rsidRPr="009A7CD7">
        <w:rPr>
          <w:rFonts w:eastAsia="Calibri"/>
          <w:lang w:eastAsia="en-US"/>
        </w:rPr>
        <w:t xml:space="preserve"> sociali</w:t>
      </w:r>
      <w:r w:rsidR="00AF707C" w:rsidRPr="009A7CD7">
        <w:rPr>
          <w:rFonts w:eastAsia="Calibri"/>
          <w:lang w:eastAsia="en-US"/>
        </w:rPr>
        <w:t xml:space="preserve"> è comunicata al Ministero del </w:t>
      </w:r>
      <w:r w:rsidR="00D11616" w:rsidRPr="009A7CD7">
        <w:rPr>
          <w:rFonts w:eastAsia="Calibri"/>
          <w:lang w:eastAsia="en-US"/>
        </w:rPr>
        <w:t>l</w:t>
      </w:r>
      <w:r w:rsidR="00AF707C" w:rsidRPr="009A7CD7">
        <w:rPr>
          <w:rFonts w:eastAsia="Calibri"/>
          <w:lang w:eastAsia="en-US"/>
        </w:rPr>
        <w:t xml:space="preserve">avoro e delle politiche sociali entro trenta giorni dall’effettivo trasferimento delle risorse secondo le modalità di cui all’Allegato </w:t>
      </w:r>
      <w:r w:rsidR="00C60F93" w:rsidRPr="009A7CD7">
        <w:rPr>
          <w:rFonts w:eastAsia="Calibri"/>
          <w:lang w:eastAsia="en-US"/>
        </w:rPr>
        <w:t>C</w:t>
      </w:r>
      <w:r w:rsidR="00C60F93" w:rsidRPr="009A7CD7">
        <w:rPr>
          <w:bCs/>
        </w:rPr>
        <w:t>,</w:t>
      </w:r>
      <w:r w:rsidR="00AF707C" w:rsidRPr="009A7CD7">
        <w:rPr>
          <w:bCs/>
        </w:rPr>
        <w:t xml:space="preserve"> che costituisce parte integrante del presente decreto.</w:t>
      </w:r>
    </w:p>
    <w:p w14:paraId="4614ECC6" w14:textId="4EE0A4EA" w:rsidR="00286839" w:rsidRPr="009A7CD7" w:rsidRDefault="00D11616" w:rsidP="00286839">
      <w:pPr>
        <w:spacing w:after="160"/>
        <w:contextualSpacing/>
        <w:jc w:val="both"/>
        <w:rPr>
          <w:bCs/>
          <w:color w:val="FF0000"/>
        </w:rPr>
      </w:pPr>
      <w:r w:rsidRPr="009A7CD7">
        <w:rPr>
          <w:bCs/>
        </w:rPr>
        <w:t>7.</w:t>
      </w:r>
      <w:r w:rsidRPr="009A7CD7">
        <w:rPr>
          <w:bCs/>
          <w:color w:val="FF0000"/>
        </w:rPr>
        <w:t xml:space="preserve"> </w:t>
      </w:r>
      <w:r w:rsidR="00AF707C" w:rsidRPr="009A7CD7">
        <w:rPr>
          <w:rFonts w:eastAsia="Calibri"/>
          <w:lang w:eastAsia="en-US"/>
        </w:rPr>
        <w:t>Eventuali</w:t>
      </w:r>
      <w:r w:rsidR="00A62154" w:rsidRPr="009A7CD7">
        <w:rPr>
          <w:rFonts w:eastAsia="Calibri"/>
          <w:lang w:eastAsia="en-US"/>
        </w:rPr>
        <w:t>,</w:t>
      </w:r>
      <w:r w:rsidR="00AF707C" w:rsidRPr="009A7CD7">
        <w:rPr>
          <w:rFonts w:eastAsia="Calibri"/>
          <w:lang w:eastAsia="en-US"/>
        </w:rPr>
        <w:t xml:space="preserve"> ulteriori risorse derivanti da</w:t>
      </w:r>
      <w:r w:rsidR="009F19BA">
        <w:rPr>
          <w:rFonts w:eastAsia="Calibri"/>
          <w:lang w:eastAsia="en-US"/>
        </w:rPr>
        <w:t>ll’</w:t>
      </w:r>
      <w:r w:rsidR="00AF707C" w:rsidRPr="009A7CD7">
        <w:rPr>
          <w:rFonts w:eastAsia="Calibri"/>
          <w:lang w:eastAsia="en-US"/>
        </w:rPr>
        <w:t xml:space="preserve">incremento dello stanziamento sul capitolo di spesa 3538 “Fondo per le non autosufficienze”, saranno ripartite con decreto del Ministero del lavoro e delle politiche sociali fra le Regioni secondo le quote percentuali </w:t>
      </w:r>
      <w:r w:rsidR="00B51752" w:rsidRPr="009A7CD7">
        <w:rPr>
          <w:rFonts w:eastAsia="Calibri"/>
          <w:lang w:eastAsia="en-US"/>
        </w:rPr>
        <w:t>indicate nella</w:t>
      </w:r>
      <w:r w:rsidR="00AF707C" w:rsidRPr="009A7CD7">
        <w:rPr>
          <w:rFonts w:eastAsia="Calibri"/>
          <w:lang w:eastAsia="en-US"/>
        </w:rPr>
        <w:t xml:space="preserve"> Tabella 1</w:t>
      </w:r>
      <w:r w:rsidR="00354918" w:rsidRPr="009A7CD7">
        <w:rPr>
          <w:rFonts w:eastAsia="Calibri"/>
          <w:lang w:eastAsia="en-US"/>
        </w:rPr>
        <w:t>.</w:t>
      </w:r>
    </w:p>
    <w:p w14:paraId="5A468635" w14:textId="2BB004B4" w:rsidR="00B922BE" w:rsidRPr="009A7CD7" w:rsidRDefault="00286839" w:rsidP="00B922BE">
      <w:pPr>
        <w:spacing w:after="160"/>
        <w:contextualSpacing/>
        <w:jc w:val="both"/>
        <w:rPr>
          <w:bCs/>
        </w:rPr>
      </w:pPr>
      <w:r w:rsidRPr="009A7CD7">
        <w:rPr>
          <w:bCs/>
        </w:rPr>
        <w:t xml:space="preserve">8. </w:t>
      </w:r>
      <w:r w:rsidR="002B644D" w:rsidRPr="009A7CD7">
        <w:rPr>
          <w:rFonts w:eastAsiaTheme="minorHAnsi"/>
          <w:lang w:eastAsia="en-US"/>
        </w:rPr>
        <w:t xml:space="preserve">Le </w:t>
      </w:r>
      <w:r w:rsidR="00BD021C" w:rsidRPr="009A7CD7">
        <w:rPr>
          <w:rFonts w:eastAsiaTheme="minorHAnsi"/>
          <w:lang w:eastAsia="en-US"/>
        </w:rPr>
        <w:t xml:space="preserve">regioni utilizzano le risorse di cui al presente decreto, per una quota nel limite del 50 per cento delle risorse assegnate, per gli interventi </w:t>
      </w:r>
      <w:r w:rsidR="00C01F31" w:rsidRPr="009A7CD7">
        <w:rPr>
          <w:rFonts w:eastAsiaTheme="minorHAnsi"/>
          <w:lang w:eastAsia="en-US"/>
        </w:rPr>
        <w:t>in</w:t>
      </w:r>
      <w:r w:rsidR="00BD021C" w:rsidRPr="009A7CD7">
        <w:rPr>
          <w:rFonts w:eastAsiaTheme="minorHAnsi"/>
          <w:lang w:eastAsia="en-US"/>
        </w:rPr>
        <w:t xml:space="preserve"> favore di persone in condizione di disabilità gravissima e comunque fino al soddisfacimento della platea individuata all’articolo 3 del D.M. 26 settembre 2016, </w:t>
      </w:r>
      <w:r w:rsidR="00BD021C" w:rsidRPr="009A7CD7">
        <w:rPr>
          <w:rFonts w:eastAsiaTheme="minorHAnsi"/>
          <w:lang w:eastAsia="en-US"/>
        </w:rPr>
        <w:lastRenderedPageBreak/>
        <w:t xml:space="preserve">ivi inclusi gli interventi a sostegno delle persone affette da sclerosi laterale amiotrofica e delle persone con stato di demenza molto grave, tra cui quelle affette dal morbo di Alzheimer in tale condizione. </w:t>
      </w:r>
    </w:p>
    <w:p w14:paraId="4F48F053" w14:textId="77777777" w:rsidR="0009750E" w:rsidRPr="009A7CD7" w:rsidRDefault="0009750E" w:rsidP="00CF36DA">
      <w:pPr>
        <w:spacing w:after="160"/>
        <w:contextualSpacing/>
        <w:jc w:val="center"/>
        <w:rPr>
          <w:b/>
          <w:bCs/>
        </w:rPr>
      </w:pPr>
    </w:p>
    <w:p w14:paraId="18E67DF5" w14:textId="77777777" w:rsidR="00DA5BE0" w:rsidRDefault="00DA5BE0" w:rsidP="00CF36DA">
      <w:pPr>
        <w:spacing w:after="160"/>
        <w:contextualSpacing/>
        <w:jc w:val="center"/>
        <w:rPr>
          <w:b/>
          <w:bCs/>
        </w:rPr>
      </w:pPr>
    </w:p>
    <w:p w14:paraId="4A545B2C" w14:textId="482D9CD5" w:rsidR="00AF707C" w:rsidRPr="009A7CD7" w:rsidRDefault="00AF707C" w:rsidP="00CF36DA">
      <w:pPr>
        <w:spacing w:after="160"/>
        <w:contextualSpacing/>
        <w:jc w:val="center"/>
        <w:rPr>
          <w:bCs/>
          <w:color w:val="FF0000"/>
        </w:rPr>
      </w:pPr>
      <w:r w:rsidRPr="009A7CD7">
        <w:rPr>
          <w:b/>
          <w:bCs/>
        </w:rPr>
        <w:t>Art</w:t>
      </w:r>
      <w:r w:rsidR="00B922BE" w:rsidRPr="009A7CD7">
        <w:rPr>
          <w:b/>
          <w:bCs/>
        </w:rPr>
        <w:t>icolo</w:t>
      </w:r>
      <w:r w:rsidRPr="009A7CD7">
        <w:rPr>
          <w:b/>
          <w:bCs/>
        </w:rPr>
        <w:t xml:space="preserve"> 3</w:t>
      </w:r>
    </w:p>
    <w:p w14:paraId="213A755D" w14:textId="77777777" w:rsidR="00AF707C" w:rsidRPr="009A7CD7" w:rsidRDefault="00AF707C" w:rsidP="00CF36DA">
      <w:pPr>
        <w:keepNext/>
        <w:keepLines/>
        <w:spacing w:after="120"/>
        <w:jc w:val="center"/>
        <w:outlineLvl w:val="5"/>
        <w:rPr>
          <w:bCs/>
          <w:i/>
          <w:iCs/>
        </w:rPr>
      </w:pPr>
      <w:r w:rsidRPr="009A7CD7">
        <w:rPr>
          <w:bCs/>
          <w:i/>
          <w:iCs/>
        </w:rPr>
        <w:t>(Monitoraggio ed erogazione)</w:t>
      </w:r>
    </w:p>
    <w:p w14:paraId="31F968BE" w14:textId="23917CC7" w:rsidR="004F5CA4" w:rsidRPr="009A7CD7" w:rsidRDefault="00B922BE" w:rsidP="004F5CA4">
      <w:pPr>
        <w:spacing w:after="160"/>
        <w:contextualSpacing/>
        <w:jc w:val="both"/>
        <w:rPr>
          <w:rFonts w:eastAsia="Calibri"/>
          <w:lang w:eastAsia="en-US"/>
        </w:rPr>
      </w:pPr>
      <w:r w:rsidRPr="009A7CD7">
        <w:rPr>
          <w:rFonts w:eastAsia="Calibri"/>
          <w:lang w:eastAsia="en-US"/>
        </w:rPr>
        <w:t xml:space="preserve">1. </w:t>
      </w:r>
      <w:r w:rsidR="00AF707C" w:rsidRPr="009A7CD7">
        <w:rPr>
          <w:rFonts w:eastAsia="Calibri"/>
          <w:lang w:eastAsia="en-US"/>
        </w:rPr>
        <w:t xml:space="preserve">Le regioni </w:t>
      </w:r>
      <w:r w:rsidR="008C3033" w:rsidRPr="009A7CD7">
        <w:rPr>
          <w:rFonts w:eastAsia="Calibri"/>
          <w:lang w:eastAsia="en-US"/>
        </w:rPr>
        <w:t xml:space="preserve">assicurano </w:t>
      </w:r>
      <w:r w:rsidR="00C01F31" w:rsidRPr="009A7CD7">
        <w:rPr>
          <w:rFonts w:eastAsia="Calibri"/>
          <w:lang w:eastAsia="en-US"/>
        </w:rPr>
        <w:t>al Ministero del lavoro e delle politiche sociali</w:t>
      </w:r>
      <w:r w:rsidR="007F11E5" w:rsidRPr="009A7CD7">
        <w:rPr>
          <w:rFonts w:eastAsia="Calibri"/>
          <w:lang w:eastAsia="en-US"/>
        </w:rPr>
        <w:t xml:space="preserve"> </w:t>
      </w:r>
      <w:r w:rsidR="008C3033" w:rsidRPr="009A7CD7">
        <w:rPr>
          <w:rFonts w:eastAsia="Calibri"/>
          <w:lang w:eastAsia="en-US"/>
        </w:rPr>
        <w:t>il monitoraggio e la rendicontazione de</w:t>
      </w:r>
      <w:r w:rsidR="00AF707C" w:rsidRPr="009A7CD7">
        <w:rPr>
          <w:rFonts w:eastAsia="Calibri"/>
          <w:lang w:eastAsia="en-US"/>
        </w:rPr>
        <w:t xml:space="preserve">gli interventi programmati a valere sulle risorse </w:t>
      </w:r>
      <w:r w:rsidR="008C3033" w:rsidRPr="009A7CD7">
        <w:rPr>
          <w:rFonts w:eastAsia="Calibri"/>
          <w:lang w:eastAsia="en-US"/>
        </w:rPr>
        <w:t xml:space="preserve">assegnate, </w:t>
      </w:r>
      <w:r w:rsidR="00AF707C" w:rsidRPr="009A7CD7">
        <w:rPr>
          <w:rFonts w:eastAsia="Calibri"/>
          <w:lang w:eastAsia="en-US"/>
        </w:rPr>
        <w:t xml:space="preserve">secondo le indicazioni del Piano di cui all’articolo 1, come declinate nel presente articolo. </w:t>
      </w:r>
    </w:p>
    <w:p w14:paraId="40971C12" w14:textId="271FB0EF" w:rsidR="00954FE8" w:rsidRPr="009A7CD7" w:rsidRDefault="004F5CA4" w:rsidP="00BC5174">
      <w:pPr>
        <w:spacing w:after="160"/>
        <w:contextualSpacing/>
        <w:jc w:val="both"/>
        <w:rPr>
          <w:rFonts w:eastAsia="Calibri"/>
          <w:lang w:eastAsia="en-US"/>
        </w:rPr>
      </w:pPr>
      <w:r w:rsidRPr="009A7CD7">
        <w:rPr>
          <w:rFonts w:eastAsia="Calibri"/>
          <w:lang w:eastAsia="en-US"/>
        </w:rPr>
        <w:t xml:space="preserve">2. </w:t>
      </w:r>
      <w:r w:rsidR="00954FE8" w:rsidRPr="009A7CD7">
        <w:rPr>
          <w:rFonts w:eastAsia="Calibri"/>
          <w:lang w:eastAsia="en-US"/>
        </w:rPr>
        <w:t xml:space="preserve">L’erogazione delle risorse di ciascuna annualità è condizionata alla rendicontazione, nella specifica sezione del SIOSS, da parte degli Ambiti territoriali dell’effettivo utilizzo di almeno il 75%, su base regionale, delle risorse ripartite nel secondo anno precedente, secondo le modalità di cui alla scheda della piattaforma SIOSS denominata “Rendicontazioni FNA”, fatta salva la facoltà della </w:t>
      </w:r>
      <w:r w:rsidR="00E507C3" w:rsidRPr="009A7CD7">
        <w:rPr>
          <w:rFonts w:eastAsia="Calibri"/>
          <w:lang w:eastAsia="en-US"/>
        </w:rPr>
        <w:t>r</w:t>
      </w:r>
      <w:r w:rsidR="00954FE8" w:rsidRPr="009A7CD7">
        <w:rPr>
          <w:rFonts w:eastAsia="Calibri"/>
          <w:lang w:eastAsia="en-US"/>
        </w:rPr>
        <w:t>egione di curare direttamente la raccolta delle informazioni e alimentare direttamente il SIOSS per conto degli Ambiti territoriali ai sensi dell’articolo 8 del decreto del Ministro del lavoro e delle politiche sociali n. 103 del 22 agosto 2019. Eventuali somme non rendicontate devono comunque essere esposte entro la successiva erogazione.</w:t>
      </w:r>
    </w:p>
    <w:p w14:paraId="4A43A8B3" w14:textId="6FA60133" w:rsidR="00AF707C" w:rsidRPr="009A7CD7" w:rsidRDefault="00BC5174" w:rsidP="00BC5174">
      <w:pPr>
        <w:spacing w:after="160"/>
        <w:contextualSpacing/>
        <w:jc w:val="both"/>
        <w:rPr>
          <w:rFonts w:eastAsia="Calibri"/>
          <w:lang w:eastAsia="en-US"/>
        </w:rPr>
      </w:pPr>
      <w:r w:rsidRPr="009A7CD7">
        <w:rPr>
          <w:rFonts w:eastAsia="Calibri"/>
          <w:lang w:eastAsia="en-US"/>
        </w:rPr>
        <w:t xml:space="preserve">3. </w:t>
      </w:r>
      <w:r w:rsidR="00AF707C" w:rsidRPr="009A7CD7">
        <w:rPr>
          <w:rFonts w:eastAsia="Calibri"/>
          <w:lang w:eastAsia="en-US"/>
        </w:rPr>
        <w:t>Le regioni</w:t>
      </w:r>
      <w:r w:rsidR="008C3033" w:rsidRPr="009A7CD7">
        <w:rPr>
          <w:rFonts w:eastAsia="Calibri"/>
          <w:lang w:eastAsia="en-US"/>
        </w:rPr>
        <w:t xml:space="preserve"> sono altresì tenute a </w:t>
      </w:r>
      <w:r w:rsidR="00AF707C" w:rsidRPr="009A7CD7">
        <w:rPr>
          <w:rFonts w:eastAsia="Calibri"/>
          <w:lang w:eastAsia="en-US"/>
        </w:rPr>
        <w:t>rilevare</w:t>
      </w:r>
      <w:r w:rsidR="008C3033" w:rsidRPr="009A7CD7">
        <w:rPr>
          <w:rFonts w:eastAsia="Calibri"/>
          <w:lang w:eastAsia="en-US"/>
        </w:rPr>
        <w:t>,</w:t>
      </w:r>
      <w:r w:rsidR="00AF707C" w:rsidRPr="009A7CD7">
        <w:rPr>
          <w:rFonts w:eastAsia="Calibri"/>
          <w:lang w:eastAsia="en-US"/>
        </w:rPr>
        <w:t xml:space="preserve"> a livello di ambito territoriale</w:t>
      </w:r>
      <w:r w:rsidR="00826533" w:rsidRPr="009A7CD7">
        <w:rPr>
          <w:rFonts w:eastAsia="Calibri"/>
          <w:lang w:eastAsia="en-US"/>
        </w:rPr>
        <w:t xml:space="preserve"> </w:t>
      </w:r>
      <w:r w:rsidR="007F7EEA" w:rsidRPr="009A7CD7">
        <w:rPr>
          <w:rFonts w:eastAsia="Calibri"/>
          <w:lang w:eastAsia="en-US"/>
        </w:rPr>
        <w:t>sociale</w:t>
      </w:r>
      <w:r w:rsidR="00AF707C" w:rsidRPr="009A7CD7">
        <w:rPr>
          <w:rFonts w:eastAsia="Calibri"/>
          <w:lang w:eastAsia="en-US"/>
        </w:rPr>
        <w:t>, a fini del monitoraggio sull’utilizzo delle risorse, il numero e le caratteristiche delle persone assistite nel proprio territorio al 31 dicembre di ciascun anno, secondo il modello di cui all’</w:t>
      </w:r>
      <w:r w:rsidR="006F76FC" w:rsidRPr="009A7CD7">
        <w:rPr>
          <w:rFonts w:eastAsia="Calibri"/>
          <w:lang w:eastAsia="en-US"/>
        </w:rPr>
        <w:t>a</w:t>
      </w:r>
      <w:r w:rsidR="00AF707C" w:rsidRPr="009A7CD7">
        <w:rPr>
          <w:rFonts w:eastAsia="Calibri"/>
          <w:lang w:eastAsia="en-US"/>
        </w:rPr>
        <w:t>llegato E,</w:t>
      </w:r>
      <w:r w:rsidR="00AF707C" w:rsidRPr="009A7CD7">
        <w:rPr>
          <w:bCs/>
        </w:rPr>
        <w:t xml:space="preserve"> che costituisce parte integrante del presente decreto,</w:t>
      </w:r>
      <w:r w:rsidR="00AF707C" w:rsidRPr="009A7CD7">
        <w:rPr>
          <w:rFonts w:eastAsia="Calibri"/>
          <w:lang w:eastAsia="en-US"/>
        </w:rPr>
        <w:t xml:space="preserve"> rendendole disponibili, secondo le modalità di cui al citato articolo 6, comma 5, del </w:t>
      </w:r>
      <w:r w:rsidR="007F11E5" w:rsidRPr="009A7CD7">
        <w:rPr>
          <w:rFonts w:eastAsia="Calibri"/>
          <w:lang w:eastAsia="en-US"/>
        </w:rPr>
        <w:t>d</w:t>
      </w:r>
      <w:r w:rsidR="009F0AFA" w:rsidRPr="009A7CD7">
        <w:rPr>
          <w:rFonts w:eastAsia="Calibri"/>
          <w:lang w:eastAsia="en-US"/>
        </w:rPr>
        <w:t>ecreto del Ministro del lavoro e delle politiche sociali</w:t>
      </w:r>
      <w:r w:rsidR="008F6271" w:rsidRPr="009A7CD7">
        <w:rPr>
          <w:rFonts w:eastAsia="Calibri"/>
          <w:lang w:eastAsia="en-US"/>
        </w:rPr>
        <w:t xml:space="preserve"> del</w:t>
      </w:r>
      <w:r w:rsidR="00AF707C" w:rsidRPr="009A7CD7">
        <w:rPr>
          <w:rFonts w:eastAsia="Calibri"/>
          <w:lang w:eastAsia="en-US"/>
        </w:rPr>
        <w:t xml:space="preserve"> 22 agosto 2019,</w:t>
      </w:r>
      <w:r w:rsidR="00E30DEE" w:rsidRPr="009A7CD7">
        <w:rPr>
          <w:rFonts w:eastAsia="Calibri"/>
          <w:lang w:eastAsia="en-US"/>
        </w:rPr>
        <w:t xml:space="preserve"> n. 103,</w:t>
      </w:r>
      <w:r w:rsidR="00AF707C" w:rsidRPr="009A7CD7">
        <w:rPr>
          <w:rFonts w:eastAsia="Calibri"/>
          <w:lang w:eastAsia="en-US"/>
        </w:rPr>
        <w:t xml:space="preserve"> entro il 31 maggio dell’anno successivo.</w:t>
      </w:r>
    </w:p>
    <w:p w14:paraId="20ABA895" w14:textId="77777777" w:rsidR="00AF707C" w:rsidRPr="009A7CD7" w:rsidRDefault="00AF707C" w:rsidP="00AF707C">
      <w:pPr>
        <w:ind w:left="284"/>
        <w:contextualSpacing/>
        <w:jc w:val="both"/>
        <w:rPr>
          <w:rFonts w:eastAsia="Calibri"/>
          <w:lang w:eastAsia="en-US"/>
        </w:rPr>
      </w:pPr>
    </w:p>
    <w:p w14:paraId="746F0F87" w14:textId="77777777" w:rsidR="00AF707C" w:rsidRPr="009A7CD7" w:rsidRDefault="00AF707C" w:rsidP="008C3033">
      <w:pPr>
        <w:keepNext/>
        <w:ind w:left="284" w:hanging="284"/>
        <w:jc w:val="center"/>
        <w:outlineLvl w:val="5"/>
        <w:rPr>
          <w:b/>
          <w:bCs/>
        </w:rPr>
      </w:pPr>
      <w:r w:rsidRPr="009A7CD7">
        <w:rPr>
          <w:b/>
          <w:bCs/>
        </w:rPr>
        <w:t>Articolo 4</w:t>
      </w:r>
    </w:p>
    <w:p w14:paraId="63B39F1C" w14:textId="02285F0B" w:rsidR="00AF707C" w:rsidRPr="009A7CD7" w:rsidRDefault="00AF707C" w:rsidP="008C3033">
      <w:pPr>
        <w:keepNext/>
        <w:keepLines/>
        <w:spacing w:after="120"/>
        <w:ind w:left="284" w:hanging="284"/>
        <w:jc w:val="center"/>
        <w:rPr>
          <w:b/>
          <w:bCs/>
          <w:i/>
          <w:iCs/>
        </w:rPr>
      </w:pPr>
      <w:r w:rsidRPr="009A7CD7">
        <w:rPr>
          <w:i/>
          <w:iCs/>
        </w:rPr>
        <w:t>(Progetti</w:t>
      </w:r>
      <w:r w:rsidR="009D6677" w:rsidRPr="009A7CD7">
        <w:rPr>
          <w:i/>
          <w:iCs/>
        </w:rPr>
        <w:t xml:space="preserve"> di </w:t>
      </w:r>
      <w:r w:rsidRPr="009A7CD7">
        <w:rPr>
          <w:i/>
          <w:iCs/>
        </w:rPr>
        <w:t>vita indipendente)</w:t>
      </w:r>
    </w:p>
    <w:p w14:paraId="23EA07E7" w14:textId="4C82E1DE" w:rsidR="00742D32" w:rsidRPr="009A7CD7" w:rsidRDefault="008C3033" w:rsidP="00742D32">
      <w:pPr>
        <w:contextualSpacing/>
        <w:jc w:val="both"/>
        <w:rPr>
          <w:rFonts w:eastAsia="Calibri"/>
          <w:lang w:eastAsia="en-US"/>
        </w:rPr>
      </w:pPr>
      <w:r w:rsidRPr="009A7CD7">
        <w:rPr>
          <w:rFonts w:eastAsia="Calibri"/>
          <w:lang w:eastAsia="en-US"/>
        </w:rPr>
        <w:t xml:space="preserve">1. </w:t>
      </w:r>
      <w:r w:rsidR="00AF707C" w:rsidRPr="009A7CD7">
        <w:rPr>
          <w:rFonts w:eastAsia="Calibri"/>
          <w:lang w:eastAsia="en-US"/>
        </w:rPr>
        <w:t xml:space="preserve">Sono finanziate azioni volte alla realizzazione dei progetti previsti dalle “Linee di indirizzo per Progetti di vita indipendente”, di cui all’allegato F </w:t>
      </w:r>
      <w:r w:rsidR="00290A2F" w:rsidRPr="009A7CD7">
        <w:rPr>
          <w:rFonts w:eastAsia="Calibri"/>
          <w:lang w:eastAsia="en-US"/>
        </w:rPr>
        <w:t xml:space="preserve">al </w:t>
      </w:r>
      <w:r w:rsidR="00AF707C" w:rsidRPr="009A7CD7">
        <w:rPr>
          <w:rFonts w:eastAsia="Calibri"/>
          <w:lang w:eastAsia="en-US"/>
        </w:rPr>
        <w:t>Piano nazionale per la non autosufficienza 20</w:t>
      </w:r>
      <w:r w:rsidR="00733D22" w:rsidRPr="009A7CD7">
        <w:rPr>
          <w:rFonts w:eastAsia="Calibri"/>
          <w:lang w:eastAsia="en-US"/>
        </w:rPr>
        <w:t>25</w:t>
      </w:r>
      <w:r w:rsidR="00AF707C" w:rsidRPr="009A7CD7">
        <w:rPr>
          <w:rFonts w:eastAsia="Calibri"/>
          <w:lang w:eastAsia="en-US"/>
        </w:rPr>
        <w:t>-202</w:t>
      </w:r>
      <w:r w:rsidR="00733D22" w:rsidRPr="009A7CD7">
        <w:rPr>
          <w:rFonts w:eastAsia="Calibri"/>
          <w:lang w:eastAsia="en-US"/>
        </w:rPr>
        <w:t>7</w:t>
      </w:r>
      <w:r w:rsidR="00290A2F" w:rsidRPr="009A7CD7">
        <w:rPr>
          <w:rFonts w:eastAsia="Calibri"/>
          <w:lang w:eastAsia="en-US"/>
        </w:rPr>
        <w:t xml:space="preserve"> approvato con il presente decreto</w:t>
      </w:r>
      <w:r w:rsidR="00AF707C" w:rsidRPr="009A7CD7">
        <w:rPr>
          <w:rFonts w:eastAsia="Calibri"/>
          <w:lang w:eastAsia="en-US"/>
        </w:rPr>
        <w:t xml:space="preserve">, per n. 183 ambiti </w:t>
      </w:r>
      <w:r w:rsidR="00FF7EDC" w:rsidRPr="009A7CD7">
        <w:rPr>
          <w:rFonts w:eastAsia="Calibri"/>
          <w:lang w:eastAsia="en-US"/>
        </w:rPr>
        <w:t xml:space="preserve">territoriali </w:t>
      </w:r>
      <w:r w:rsidR="00AF707C" w:rsidRPr="009A7CD7">
        <w:rPr>
          <w:rFonts w:eastAsia="Calibri"/>
          <w:lang w:eastAsia="en-US"/>
        </w:rPr>
        <w:t>coinvolti ed un ammontare complessivo di risorse a livello nazionale pari a 14.640.000</w:t>
      </w:r>
      <w:r w:rsidR="00C536C5" w:rsidRPr="009A7CD7">
        <w:rPr>
          <w:rFonts w:eastAsia="Calibri"/>
          <w:lang w:eastAsia="en-US"/>
        </w:rPr>
        <w:t>,00</w:t>
      </w:r>
      <w:r w:rsidR="00AF707C" w:rsidRPr="009A7CD7">
        <w:rPr>
          <w:rFonts w:eastAsia="Calibri"/>
          <w:lang w:eastAsia="en-US"/>
        </w:rPr>
        <w:t xml:space="preserve"> euro per ciascun</w:t>
      </w:r>
      <w:r w:rsidR="00FF7EDC" w:rsidRPr="009A7CD7">
        <w:rPr>
          <w:rFonts w:eastAsia="Calibri"/>
          <w:lang w:eastAsia="en-US"/>
        </w:rPr>
        <w:t>a annualità d</w:t>
      </w:r>
      <w:r w:rsidR="00AF707C" w:rsidRPr="009A7CD7">
        <w:rPr>
          <w:rFonts w:eastAsia="Calibri"/>
          <w:lang w:eastAsia="en-US"/>
        </w:rPr>
        <w:t xml:space="preserve">el triennio 2025-2027, a valere sulla quota del Fondo per le non autosufficienze trasferita a ciascuna regione, </w:t>
      </w:r>
      <w:r w:rsidR="00AF707C" w:rsidRPr="009A7CD7">
        <w:rPr>
          <w:rFonts w:eastAsia="Calibri"/>
          <w:lang w:eastAsia="en-US"/>
        </w:rPr>
        <w:lastRenderedPageBreak/>
        <w:t xml:space="preserve">come indicato nella tabella </w:t>
      </w:r>
      <w:r w:rsidR="00E914FA" w:rsidRPr="009A7CD7">
        <w:rPr>
          <w:rFonts w:eastAsia="Calibri"/>
          <w:lang w:eastAsia="en-US"/>
        </w:rPr>
        <w:t>5</w:t>
      </w:r>
      <w:r w:rsidR="00AF707C" w:rsidRPr="009A7CD7">
        <w:rPr>
          <w:rFonts w:eastAsia="Calibri"/>
          <w:lang w:eastAsia="en-US"/>
        </w:rPr>
        <w:t xml:space="preserve"> del presente decreto. Le suddette </w:t>
      </w:r>
      <w:r w:rsidR="004A2434" w:rsidRPr="009A7CD7">
        <w:rPr>
          <w:rFonts w:eastAsia="Calibri"/>
          <w:lang w:eastAsia="en-US"/>
        </w:rPr>
        <w:t>L</w:t>
      </w:r>
      <w:r w:rsidR="00AF707C" w:rsidRPr="009A7CD7">
        <w:rPr>
          <w:rFonts w:eastAsia="Calibri"/>
          <w:lang w:eastAsia="en-US"/>
        </w:rPr>
        <w:t xml:space="preserve">inee di indirizzo individuano le modalità attuative e, per ogni progetto di </w:t>
      </w:r>
      <w:r w:rsidR="00D776DD" w:rsidRPr="009A7CD7">
        <w:rPr>
          <w:rFonts w:eastAsia="Calibri"/>
          <w:lang w:eastAsia="en-US"/>
        </w:rPr>
        <w:t>v</w:t>
      </w:r>
      <w:r w:rsidR="00AF707C" w:rsidRPr="009A7CD7">
        <w:rPr>
          <w:rFonts w:eastAsia="Calibri"/>
          <w:lang w:eastAsia="en-US"/>
        </w:rPr>
        <w:t xml:space="preserve">ita indipendente, </w:t>
      </w:r>
      <w:r w:rsidR="000B22FB" w:rsidRPr="009A7CD7">
        <w:rPr>
          <w:rFonts w:eastAsia="Calibri"/>
          <w:lang w:eastAsia="en-US"/>
        </w:rPr>
        <w:t xml:space="preserve">il singolo </w:t>
      </w:r>
      <w:r w:rsidR="00AF707C" w:rsidRPr="009A7CD7">
        <w:rPr>
          <w:rFonts w:eastAsia="Calibri"/>
          <w:lang w:eastAsia="en-US"/>
        </w:rPr>
        <w:t xml:space="preserve">ambito </w:t>
      </w:r>
      <w:r w:rsidR="004A2434" w:rsidRPr="009A7CD7">
        <w:rPr>
          <w:rFonts w:eastAsia="Calibri"/>
          <w:lang w:eastAsia="en-US"/>
        </w:rPr>
        <w:t xml:space="preserve">territoriale </w:t>
      </w:r>
      <w:r w:rsidR="00AF707C" w:rsidRPr="009A7CD7">
        <w:rPr>
          <w:rFonts w:eastAsia="Calibri"/>
          <w:lang w:eastAsia="en-US"/>
        </w:rPr>
        <w:t xml:space="preserve">può accedere </w:t>
      </w:r>
      <w:r w:rsidR="000B22FB" w:rsidRPr="009A7CD7">
        <w:rPr>
          <w:rFonts w:eastAsia="Calibri"/>
          <w:lang w:eastAsia="en-US"/>
        </w:rPr>
        <w:t xml:space="preserve">ad </w:t>
      </w:r>
      <w:r w:rsidR="00AF707C" w:rsidRPr="009A7CD7">
        <w:rPr>
          <w:rFonts w:eastAsia="Calibri"/>
          <w:lang w:eastAsia="en-US"/>
        </w:rPr>
        <w:t>un finanziamento pari a</w:t>
      </w:r>
      <w:r w:rsidR="000B22FB" w:rsidRPr="009A7CD7">
        <w:rPr>
          <w:rFonts w:eastAsia="Calibri"/>
          <w:lang w:eastAsia="en-US"/>
        </w:rPr>
        <w:t>d euro</w:t>
      </w:r>
      <w:r w:rsidR="00AF707C" w:rsidRPr="009A7CD7">
        <w:rPr>
          <w:rFonts w:eastAsia="Calibri"/>
          <w:lang w:eastAsia="en-US"/>
        </w:rPr>
        <w:t xml:space="preserve"> 80.000</w:t>
      </w:r>
      <w:r w:rsidR="00C536C5" w:rsidRPr="009A7CD7">
        <w:rPr>
          <w:rFonts w:eastAsia="Calibri"/>
          <w:lang w:eastAsia="en-US"/>
        </w:rPr>
        <w:t>,00</w:t>
      </w:r>
      <w:r w:rsidR="00AF707C" w:rsidRPr="009A7CD7">
        <w:rPr>
          <w:rFonts w:eastAsia="Calibri"/>
          <w:lang w:eastAsia="en-US"/>
        </w:rPr>
        <w:t xml:space="preserve">, cui </w:t>
      </w:r>
      <w:r w:rsidR="000B22FB" w:rsidRPr="009A7CD7">
        <w:rPr>
          <w:rFonts w:eastAsia="Calibri"/>
          <w:lang w:eastAsia="en-US"/>
        </w:rPr>
        <w:t xml:space="preserve">deve essere aggiunto </w:t>
      </w:r>
      <w:r w:rsidR="00AF707C" w:rsidRPr="009A7CD7">
        <w:rPr>
          <w:rFonts w:eastAsia="Calibri"/>
          <w:lang w:eastAsia="en-US"/>
        </w:rPr>
        <w:t>un cofinanziamento di 20.000</w:t>
      </w:r>
      <w:r w:rsidR="00C536C5" w:rsidRPr="009A7CD7">
        <w:rPr>
          <w:rFonts w:eastAsia="Calibri"/>
          <w:lang w:eastAsia="en-US"/>
        </w:rPr>
        <w:t>,00</w:t>
      </w:r>
      <w:r w:rsidR="00AF707C" w:rsidRPr="009A7CD7">
        <w:rPr>
          <w:rFonts w:eastAsia="Calibri"/>
          <w:lang w:eastAsia="en-US"/>
        </w:rPr>
        <w:t xml:space="preserve"> euro </w:t>
      </w:r>
      <w:r w:rsidR="000B22FB" w:rsidRPr="009A7CD7">
        <w:rPr>
          <w:rFonts w:eastAsia="Calibri"/>
          <w:lang w:eastAsia="en-US"/>
        </w:rPr>
        <w:t>da parte della regione.</w:t>
      </w:r>
    </w:p>
    <w:p w14:paraId="76FD5C07" w14:textId="3C3876C5" w:rsidR="00622A87" w:rsidRPr="009A7CD7" w:rsidRDefault="00742D32" w:rsidP="00290A2F">
      <w:pPr>
        <w:contextualSpacing/>
        <w:jc w:val="both"/>
        <w:rPr>
          <w:rFonts w:eastAsia="Calibri"/>
          <w:lang w:eastAsia="en-US"/>
        </w:rPr>
      </w:pPr>
      <w:r w:rsidRPr="009A7CD7">
        <w:rPr>
          <w:rFonts w:eastAsia="Calibri"/>
          <w:lang w:eastAsia="en-US"/>
        </w:rPr>
        <w:t xml:space="preserve">2. </w:t>
      </w:r>
      <w:r w:rsidR="00AF707C" w:rsidRPr="009A7CD7">
        <w:rPr>
          <w:rFonts w:eastAsia="Calibri"/>
          <w:lang w:eastAsia="en-US"/>
        </w:rPr>
        <w:t xml:space="preserve">Il Ministero del lavoro e delle politiche sociali </w:t>
      </w:r>
      <w:r w:rsidR="007658D0" w:rsidRPr="009A7CD7">
        <w:rPr>
          <w:rFonts w:eastAsia="Calibri"/>
          <w:lang w:eastAsia="en-US"/>
        </w:rPr>
        <w:t>verifica</w:t>
      </w:r>
      <w:r w:rsidR="00290A2F" w:rsidRPr="009A7CD7">
        <w:rPr>
          <w:rFonts w:eastAsia="Calibri"/>
          <w:lang w:eastAsia="en-US"/>
        </w:rPr>
        <w:t xml:space="preserve"> </w:t>
      </w:r>
      <w:r w:rsidR="007658D0" w:rsidRPr="009A7CD7">
        <w:rPr>
          <w:rFonts w:eastAsia="Calibri"/>
          <w:lang w:eastAsia="en-US"/>
        </w:rPr>
        <w:t xml:space="preserve">la corretta e </w:t>
      </w:r>
      <w:r w:rsidR="00945558" w:rsidRPr="009A7CD7">
        <w:rPr>
          <w:rFonts w:eastAsia="Calibri"/>
          <w:lang w:eastAsia="en-US"/>
        </w:rPr>
        <w:t xml:space="preserve">uniforme </w:t>
      </w:r>
      <w:r w:rsidR="00290A2F" w:rsidRPr="009A7CD7">
        <w:rPr>
          <w:rFonts w:eastAsia="Calibri"/>
          <w:lang w:eastAsia="en-US"/>
        </w:rPr>
        <w:t xml:space="preserve">attuazione sul territorio nazionale di quanto previsto </w:t>
      </w:r>
      <w:r w:rsidR="00945558" w:rsidRPr="009A7CD7">
        <w:rPr>
          <w:rFonts w:eastAsia="Calibri"/>
          <w:lang w:eastAsia="en-US"/>
        </w:rPr>
        <w:t>al comma 1</w:t>
      </w:r>
      <w:r w:rsidR="00290A2F" w:rsidRPr="009A7CD7">
        <w:rPr>
          <w:rFonts w:eastAsia="Calibri"/>
          <w:lang w:eastAsia="en-US"/>
        </w:rPr>
        <w:t>.</w:t>
      </w:r>
    </w:p>
    <w:p w14:paraId="5D89FE91" w14:textId="77777777" w:rsidR="00C42866" w:rsidRPr="009A7CD7" w:rsidRDefault="00C42866" w:rsidP="00AF707C">
      <w:pPr>
        <w:tabs>
          <w:tab w:val="left" w:pos="426"/>
        </w:tabs>
        <w:jc w:val="both"/>
        <w:rPr>
          <w:bCs/>
        </w:rPr>
      </w:pPr>
    </w:p>
    <w:p w14:paraId="68E348DF" w14:textId="77777777" w:rsidR="00AF707C" w:rsidRPr="009A7CD7" w:rsidRDefault="00AF707C" w:rsidP="00AF707C">
      <w:pPr>
        <w:tabs>
          <w:tab w:val="left" w:pos="426"/>
        </w:tabs>
        <w:jc w:val="center"/>
        <w:rPr>
          <w:b/>
        </w:rPr>
      </w:pPr>
      <w:r w:rsidRPr="009A7CD7">
        <w:rPr>
          <w:b/>
        </w:rPr>
        <w:t>Articolo 5</w:t>
      </w:r>
    </w:p>
    <w:p w14:paraId="726F7577" w14:textId="77777777" w:rsidR="00AF707C" w:rsidRPr="009A7CD7" w:rsidRDefault="00AF707C" w:rsidP="00AF707C">
      <w:pPr>
        <w:tabs>
          <w:tab w:val="left" w:pos="426"/>
        </w:tabs>
        <w:spacing w:after="120"/>
        <w:jc w:val="center"/>
        <w:rPr>
          <w:bCs/>
          <w:i/>
          <w:iCs/>
        </w:rPr>
      </w:pPr>
      <w:r w:rsidRPr="009A7CD7">
        <w:rPr>
          <w:bCs/>
          <w:i/>
          <w:iCs/>
        </w:rPr>
        <w:t>(Personale con professionalità sociale per il rafforzamento dei PUA)</w:t>
      </w:r>
    </w:p>
    <w:p w14:paraId="3D54A8D8" w14:textId="4C773EF1" w:rsidR="002924A7" w:rsidRPr="009A7CD7" w:rsidRDefault="00742D32" w:rsidP="002924A7">
      <w:pPr>
        <w:contextualSpacing/>
        <w:jc w:val="both"/>
        <w:rPr>
          <w:rFonts w:eastAsia="Calibri"/>
          <w:lang w:eastAsia="en-US"/>
        </w:rPr>
      </w:pPr>
      <w:r w:rsidRPr="009A7CD7">
        <w:rPr>
          <w:rFonts w:eastAsia="Calibri"/>
          <w:lang w:eastAsia="en-US"/>
        </w:rPr>
        <w:t xml:space="preserve">1. </w:t>
      </w:r>
      <w:r w:rsidR="00AF707C" w:rsidRPr="009A7CD7">
        <w:rPr>
          <w:rFonts w:eastAsia="Calibri"/>
          <w:lang w:eastAsia="en-US"/>
        </w:rPr>
        <w:t>Ai sensi dell’articolo 1, comma 163</w:t>
      </w:r>
      <w:r w:rsidR="00F05B72" w:rsidRPr="009A7CD7">
        <w:rPr>
          <w:rFonts w:eastAsia="Calibri"/>
          <w:lang w:eastAsia="en-US"/>
        </w:rPr>
        <w:t>,</w:t>
      </w:r>
      <w:r w:rsidR="00AF707C" w:rsidRPr="009A7CD7">
        <w:rPr>
          <w:rFonts w:eastAsia="Calibri"/>
          <w:lang w:eastAsia="en-US"/>
        </w:rPr>
        <w:t xml:space="preserve"> della legge n. 234 del 2021, ai fini del rafforzamento dei PUA, nell’ambito delle risorse disponibili, </w:t>
      </w:r>
      <w:r w:rsidR="00D23411" w:rsidRPr="009A7CD7">
        <w:rPr>
          <w:rFonts w:eastAsia="Calibri"/>
          <w:lang w:eastAsia="en-US"/>
        </w:rPr>
        <w:t>p</w:t>
      </w:r>
      <w:r w:rsidR="00B31BFB" w:rsidRPr="009A7CD7">
        <w:rPr>
          <w:rFonts w:eastAsia="Calibri"/>
          <w:lang w:eastAsia="en-US"/>
        </w:rPr>
        <w:t xml:space="preserve">er ciascuna annualità del triennio 2025-2027 l’importo </w:t>
      </w:r>
      <w:r w:rsidR="00594581" w:rsidRPr="009A7CD7">
        <w:rPr>
          <w:rFonts w:eastAsia="Calibri"/>
          <w:lang w:eastAsia="en-US"/>
        </w:rPr>
        <w:t xml:space="preserve">annuo </w:t>
      </w:r>
      <w:r w:rsidR="00B31BFB" w:rsidRPr="009A7CD7">
        <w:rPr>
          <w:rFonts w:eastAsia="Calibri"/>
          <w:lang w:eastAsia="en-US"/>
        </w:rPr>
        <w:t xml:space="preserve">di 50 milioni di euro è </w:t>
      </w:r>
      <w:r w:rsidR="00594581" w:rsidRPr="009A7CD7">
        <w:rPr>
          <w:rFonts w:eastAsia="Calibri"/>
          <w:lang w:eastAsia="en-US"/>
        </w:rPr>
        <w:t xml:space="preserve">vincolato </w:t>
      </w:r>
      <w:r w:rsidR="00D23411" w:rsidRPr="009A7CD7">
        <w:rPr>
          <w:rFonts w:eastAsia="Calibri"/>
          <w:lang w:eastAsia="en-US"/>
        </w:rPr>
        <w:t xml:space="preserve">alle </w:t>
      </w:r>
      <w:r w:rsidR="00AF707C" w:rsidRPr="009A7CD7">
        <w:rPr>
          <w:rFonts w:eastAsia="Calibri"/>
          <w:lang w:eastAsia="en-US"/>
        </w:rPr>
        <w:t xml:space="preserve">assunzioni di personale con professionalità sociale presso gli Ambiti territoriali sociali, come indicato nella tabella </w:t>
      </w:r>
      <w:r w:rsidR="00C84E15" w:rsidRPr="009A7CD7">
        <w:rPr>
          <w:rFonts w:eastAsia="Calibri"/>
          <w:lang w:eastAsia="en-US"/>
        </w:rPr>
        <w:t>6</w:t>
      </w:r>
      <w:r w:rsidR="00AF707C" w:rsidRPr="009A7CD7">
        <w:rPr>
          <w:rFonts w:eastAsia="Calibri"/>
          <w:lang w:eastAsia="en-US"/>
        </w:rPr>
        <w:t xml:space="preserve"> del presente decreto.</w:t>
      </w:r>
    </w:p>
    <w:p w14:paraId="06A3778A" w14:textId="77777777" w:rsidR="00DA5BE0" w:rsidRDefault="002924A7" w:rsidP="00354918">
      <w:pPr>
        <w:contextualSpacing/>
        <w:jc w:val="both"/>
        <w:rPr>
          <w:rFonts w:eastAsia="Calibri"/>
          <w:lang w:eastAsia="en-US"/>
        </w:rPr>
      </w:pPr>
      <w:r w:rsidRPr="009A7CD7">
        <w:rPr>
          <w:rFonts w:eastAsia="Calibri"/>
          <w:lang w:eastAsia="en-US"/>
        </w:rPr>
        <w:t xml:space="preserve">2. </w:t>
      </w:r>
      <w:r w:rsidR="00AF707C" w:rsidRPr="009A7CD7">
        <w:rPr>
          <w:rFonts w:eastAsia="Calibri"/>
          <w:lang w:eastAsia="en-US"/>
        </w:rPr>
        <w:t xml:space="preserve">I dati relativi al personale con professionalità sociale per il rafforzamento dei PUA </w:t>
      </w:r>
      <w:r w:rsidR="000C1337" w:rsidRPr="009A7CD7">
        <w:rPr>
          <w:rFonts w:eastAsia="Calibri"/>
          <w:lang w:eastAsia="en-US"/>
        </w:rPr>
        <w:t xml:space="preserve">sono </w:t>
      </w:r>
      <w:r w:rsidR="00594581" w:rsidRPr="009A7CD7">
        <w:rPr>
          <w:rFonts w:eastAsia="Calibri"/>
          <w:lang w:eastAsia="en-US"/>
        </w:rPr>
        <w:t xml:space="preserve">raccolti, </w:t>
      </w:r>
      <w:r w:rsidR="00AF707C" w:rsidRPr="009A7CD7">
        <w:rPr>
          <w:rFonts w:eastAsia="Calibri"/>
          <w:lang w:eastAsia="en-US"/>
        </w:rPr>
        <w:t>a cura degli Ambiti territoriali sociali, ai fini dell’inserimento nel Sistema informativo dell’offerta dei servizi sociali</w:t>
      </w:r>
      <w:r w:rsidR="0074160B" w:rsidRPr="009A7CD7">
        <w:rPr>
          <w:rFonts w:eastAsia="Calibri"/>
          <w:lang w:eastAsia="en-US"/>
        </w:rPr>
        <w:t xml:space="preserve">, secondo le modalità riportate nell’allegato </w:t>
      </w:r>
      <w:r w:rsidR="00733D22" w:rsidRPr="009A7CD7">
        <w:rPr>
          <w:rFonts w:eastAsia="Calibri"/>
          <w:lang w:eastAsia="en-US"/>
        </w:rPr>
        <w:t>G</w:t>
      </w:r>
      <w:r w:rsidR="0074160B" w:rsidRPr="009A7CD7">
        <w:rPr>
          <w:rFonts w:eastAsia="Calibri"/>
          <w:lang w:eastAsia="en-US"/>
        </w:rPr>
        <w:t>, che costituisce parte integrante del presente decreto.</w:t>
      </w:r>
    </w:p>
    <w:p w14:paraId="0E62C43A" w14:textId="2F12FDE8" w:rsidR="00890101" w:rsidRPr="009A7CD7" w:rsidRDefault="00AF707C" w:rsidP="00354918">
      <w:pPr>
        <w:contextualSpacing/>
        <w:jc w:val="both"/>
        <w:rPr>
          <w:rFonts w:eastAsia="Calibri"/>
          <w:lang w:eastAsia="en-US"/>
        </w:rPr>
      </w:pPr>
      <w:r w:rsidRPr="009A7CD7">
        <w:rPr>
          <w:rFonts w:eastAsia="Calibri"/>
          <w:lang w:eastAsia="en-US"/>
        </w:rPr>
        <w:t xml:space="preserve"> </w:t>
      </w:r>
    </w:p>
    <w:p w14:paraId="0E23B420" w14:textId="309CE750" w:rsidR="00062369" w:rsidRPr="009A7CD7" w:rsidRDefault="00062369" w:rsidP="00164CF7">
      <w:pPr>
        <w:contextualSpacing/>
        <w:jc w:val="center"/>
        <w:rPr>
          <w:b/>
        </w:rPr>
      </w:pPr>
      <w:r w:rsidRPr="009A7CD7">
        <w:rPr>
          <w:b/>
        </w:rPr>
        <w:t>Articolo 6</w:t>
      </w:r>
    </w:p>
    <w:p w14:paraId="67B1BC7E" w14:textId="149826A3" w:rsidR="00785440" w:rsidRPr="009A7CD7" w:rsidRDefault="00785440" w:rsidP="00164CF7">
      <w:pPr>
        <w:spacing w:after="120"/>
        <w:jc w:val="center"/>
        <w:rPr>
          <w:bCs/>
          <w:i/>
          <w:iCs/>
        </w:rPr>
      </w:pPr>
      <w:r w:rsidRPr="009A7CD7">
        <w:rPr>
          <w:bCs/>
          <w:i/>
          <w:iCs/>
        </w:rPr>
        <w:t xml:space="preserve">(Adozione del </w:t>
      </w:r>
      <w:r w:rsidRPr="009A7CD7">
        <w:rPr>
          <w:i/>
          <w:iCs/>
        </w:rPr>
        <w:t>Piano nazionale per l’assistenza e la cura della fragilità e della non autosufficienza nella popolazione anziana</w:t>
      </w:r>
      <w:r w:rsidRPr="009A7CD7">
        <w:rPr>
          <w:bCs/>
          <w:i/>
          <w:iCs/>
        </w:rPr>
        <w:t xml:space="preserve"> 2025-2027)</w:t>
      </w:r>
    </w:p>
    <w:p w14:paraId="4C51DD0E" w14:textId="08B2FCEA" w:rsidR="00785440" w:rsidRPr="009A7CD7" w:rsidRDefault="003611B8" w:rsidP="00836176">
      <w:pPr>
        <w:jc w:val="both"/>
        <w:rPr>
          <w:b/>
        </w:rPr>
      </w:pPr>
      <w:r w:rsidRPr="009A7CD7">
        <w:rPr>
          <w:bCs/>
        </w:rPr>
        <w:t>1. Con decreto del Ministro del lavoro e delle politiche sociali</w:t>
      </w:r>
      <w:r w:rsidR="00836176">
        <w:rPr>
          <w:bCs/>
        </w:rPr>
        <w:t xml:space="preserve"> </w:t>
      </w:r>
      <w:r w:rsidR="00571E5C" w:rsidRPr="009A7CD7">
        <w:rPr>
          <w:bCs/>
        </w:rPr>
        <w:t xml:space="preserve">è </w:t>
      </w:r>
      <w:r w:rsidR="00FF7CAA" w:rsidRPr="009A7CD7">
        <w:rPr>
          <w:bCs/>
        </w:rPr>
        <w:t xml:space="preserve">recepito </w:t>
      </w:r>
      <w:r w:rsidR="00BA7D92" w:rsidRPr="009A7CD7">
        <w:rPr>
          <w:bCs/>
        </w:rPr>
        <w:t xml:space="preserve">il </w:t>
      </w:r>
      <w:r w:rsidR="00BA7D92" w:rsidRPr="009A7CD7">
        <w:rPr>
          <w:i/>
          <w:iCs/>
        </w:rPr>
        <w:t>Piano nazionale per l’assistenza e la cura della fragilità e della non autosufficienza nella popolazione anziana</w:t>
      </w:r>
      <w:r w:rsidR="00BA7D92" w:rsidRPr="009A7CD7">
        <w:rPr>
          <w:bCs/>
          <w:i/>
          <w:iCs/>
        </w:rPr>
        <w:t xml:space="preserve"> 2025-2027</w:t>
      </w:r>
      <w:r w:rsidR="00BA7D92" w:rsidRPr="009A7CD7">
        <w:rPr>
          <w:bCs/>
        </w:rPr>
        <w:t xml:space="preserve">, come </w:t>
      </w:r>
      <w:r w:rsidR="00FF7CAA" w:rsidRPr="009A7CD7">
        <w:rPr>
          <w:bCs/>
        </w:rPr>
        <w:t xml:space="preserve">adottato </w:t>
      </w:r>
      <w:r w:rsidR="00BA7D92" w:rsidRPr="009A7CD7">
        <w:rPr>
          <w:bCs/>
        </w:rPr>
        <w:t>dal CIPA</w:t>
      </w:r>
      <w:r w:rsidR="00937201" w:rsidRPr="009A7CD7">
        <w:rPr>
          <w:bCs/>
        </w:rPr>
        <w:t>.</w:t>
      </w:r>
    </w:p>
    <w:p w14:paraId="0A5D930D" w14:textId="77777777" w:rsidR="00AF707C" w:rsidRPr="009A7CD7" w:rsidRDefault="00AF707C" w:rsidP="00164CF7">
      <w:pPr>
        <w:ind w:left="352"/>
        <w:jc w:val="both"/>
        <w:rPr>
          <w:rFonts w:eastAsia="Calibri"/>
          <w:lang w:eastAsia="en-US"/>
        </w:rPr>
      </w:pPr>
    </w:p>
    <w:p w14:paraId="42DF0C00" w14:textId="00513937" w:rsidR="00AF707C" w:rsidRPr="009A7CD7" w:rsidRDefault="00AF707C" w:rsidP="00AF707C">
      <w:pPr>
        <w:contextualSpacing/>
        <w:jc w:val="center"/>
        <w:rPr>
          <w:b/>
        </w:rPr>
      </w:pPr>
      <w:r w:rsidRPr="009A7CD7">
        <w:rPr>
          <w:b/>
        </w:rPr>
        <w:t xml:space="preserve">Articolo </w:t>
      </w:r>
      <w:r w:rsidR="00785440" w:rsidRPr="009A7CD7">
        <w:rPr>
          <w:b/>
        </w:rPr>
        <w:t>7</w:t>
      </w:r>
    </w:p>
    <w:p w14:paraId="01DC3146" w14:textId="77777777" w:rsidR="00AF707C" w:rsidRPr="009A7CD7" w:rsidRDefault="00AF707C" w:rsidP="00AF707C">
      <w:pPr>
        <w:spacing w:after="120"/>
        <w:jc w:val="center"/>
        <w:rPr>
          <w:bCs/>
          <w:i/>
          <w:iCs/>
        </w:rPr>
      </w:pPr>
      <w:r w:rsidRPr="009A7CD7">
        <w:rPr>
          <w:bCs/>
          <w:i/>
          <w:iCs/>
        </w:rPr>
        <w:t>(Disposizioni finali)</w:t>
      </w:r>
    </w:p>
    <w:p w14:paraId="775AF2AA" w14:textId="2B14A4BB" w:rsidR="00AF707C" w:rsidRPr="009A7CD7" w:rsidRDefault="00490079" w:rsidP="00490079">
      <w:pPr>
        <w:spacing w:after="60"/>
        <w:contextualSpacing/>
        <w:jc w:val="both"/>
        <w:rPr>
          <w:rFonts w:eastAsia="Calibri"/>
          <w:lang w:eastAsia="en-US"/>
        </w:rPr>
      </w:pPr>
      <w:r w:rsidRPr="009A7CD7">
        <w:rPr>
          <w:rFonts w:eastAsia="Calibri"/>
          <w:lang w:eastAsia="en-US"/>
        </w:rPr>
        <w:t xml:space="preserve">1. </w:t>
      </w:r>
      <w:r w:rsidR="00AF707C" w:rsidRPr="009A7CD7">
        <w:rPr>
          <w:rFonts w:eastAsia="Calibri"/>
          <w:lang w:eastAsia="en-US"/>
        </w:rPr>
        <w:t xml:space="preserve">Le disposizioni del presente decreto sono applicabili nelle province autonome di Trento e </w:t>
      </w:r>
      <w:r w:rsidRPr="009A7CD7">
        <w:rPr>
          <w:rFonts w:eastAsia="Calibri"/>
          <w:lang w:eastAsia="en-US"/>
        </w:rPr>
        <w:t xml:space="preserve">di </w:t>
      </w:r>
      <w:r w:rsidR="00AF707C" w:rsidRPr="009A7CD7">
        <w:rPr>
          <w:rFonts w:eastAsia="Calibri"/>
          <w:lang w:eastAsia="en-US"/>
        </w:rPr>
        <w:t xml:space="preserve">Bolzano compatibilmente con i rispettivi statuti e le relative norme di attuazione, anche con riferimento alla legge costituzionale 18 ottobre 2001, n. 3. Le province autonome di Trento e </w:t>
      </w:r>
      <w:r w:rsidRPr="009A7CD7">
        <w:rPr>
          <w:rFonts w:eastAsia="Calibri"/>
          <w:lang w:eastAsia="en-US"/>
        </w:rPr>
        <w:t xml:space="preserve">di </w:t>
      </w:r>
      <w:r w:rsidR="00AF707C" w:rsidRPr="009A7CD7">
        <w:rPr>
          <w:rFonts w:eastAsia="Calibri"/>
          <w:lang w:eastAsia="en-US"/>
        </w:rPr>
        <w:t xml:space="preserve">Bolzano possono provvedere all’erogazione di servizi destinati alle persone non autosufficienti </w:t>
      </w:r>
      <w:r w:rsidR="00AF707C" w:rsidRPr="009A7CD7">
        <w:rPr>
          <w:rFonts w:eastAsia="Calibri"/>
          <w:lang w:eastAsia="en-US"/>
        </w:rPr>
        <w:lastRenderedPageBreak/>
        <w:t>perseguendo le finalità del Piano di cui al comma 1 nell’ambito della propria competenza legislativa e relativa potestà amministrativa.</w:t>
      </w:r>
    </w:p>
    <w:p w14:paraId="771C525A" w14:textId="77777777" w:rsidR="00AF707C" w:rsidRPr="009A7CD7" w:rsidRDefault="00AF707C" w:rsidP="00AF707C">
      <w:pPr>
        <w:jc w:val="both"/>
      </w:pPr>
    </w:p>
    <w:p w14:paraId="14903B83" w14:textId="429E501F" w:rsidR="00AF707C" w:rsidRPr="009A7CD7" w:rsidRDefault="00AF707C" w:rsidP="00490079">
      <w:pPr>
        <w:jc w:val="both"/>
      </w:pPr>
      <w:r w:rsidRPr="009A7CD7">
        <w:t xml:space="preserve">Il presente decreto </w:t>
      </w:r>
      <w:r w:rsidR="00490079" w:rsidRPr="009A7CD7">
        <w:t xml:space="preserve">è </w:t>
      </w:r>
      <w:r w:rsidRPr="009A7CD7">
        <w:t>pubblicato nella Gazzetta Ufficiale della Repubblica italiana, previo visto e registrazione della Corte dei conti.</w:t>
      </w:r>
    </w:p>
    <w:p w14:paraId="0B2653B2" w14:textId="77777777" w:rsidR="00490079" w:rsidRPr="009A7CD7" w:rsidRDefault="00490079" w:rsidP="00490079">
      <w:pPr>
        <w:jc w:val="both"/>
      </w:pPr>
    </w:p>
    <w:p w14:paraId="7C47CAF5" w14:textId="58658D0F" w:rsidR="00AF707C" w:rsidRPr="009A7CD7" w:rsidRDefault="00490079" w:rsidP="00490079">
      <w:pPr>
        <w:keepNext/>
        <w:jc w:val="both"/>
        <w:outlineLvl w:val="4"/>
        <w:rPr>
          <w:bCs/>
          <w:i/>
          <w:iCs/>
        </w:rPr>
      </w:pPr>
      <w:r w:rsidRPr="009A7CD7">
        <w:rPr>
          <w:bCs/>
          <w:i/>
          <w:iCs/>
        </w:rPr>
        <w:t>R</w:t>
      </w:r>
      <w:r w:rsidR="00AF707C" w:rsidRPr="009A7CD7">
        <w:rPr>
          <w:bCs/>
          <w:i/>
          <w:iCs/>
        </w:rPr>
        <w:t xml:space="preserve">oma, </w:t>
      </w:r>
    </w:p>
    <w:p w14:paraId="694205F3" w14:textId="5E3C05B7" w:rsidR="00AF707C" w:rsidRPr="009A7CD7" w:rsidRDefault="00AF707C" w:rsidP="00CB21B4">
      <w:pPr>
        <w:jc w:val="center"/>
      </w:pPr>
      <w:r w:rsidRPr="009A7CD7">
        <w:t>Il Presidente del Consiglio dei ministri</w:t>
      </w:r>
    </w:p>
    <w:p w14:paraId="2242EC9F" w14:textId="77777777" w:rsidR="0077641C" w:rsidRPr="009A7CD7" w:rsidRDefault="00AF707C" w:rsidP="00686025">
      <w:pPr>
        <w:jc w:val="center"/>
      </w:pPr>
      <w:r w:rsidRPr="009A7CD7">
        <w:t xml:space="preserve">Giorgia Meloni </w:t>
      </w:r>
    </w:p>
    <w:p w14:paraId="30178403" w14:textId="77777777" w:rsidR="00686025" w:rsidRPr="009A7CD7" w:rsidRDefault="00686025" w:rsidP="00686025">
      <w:pPr>
        <w:jc w:val="center"/>
      </w:pPr>
    </w:p>
    <w:p w14:paraId="24EB1950" w14:textId="355F9D04" w:rsidR="00AF707C" w:rsidRPr="009A7CD7" w:rsidRDefault="00AF707C" w:rsidP="00686025">
      <w:pPr>
        <w:jc w:val="center"/>
      </w:pPr>
      <w:r w:rsidRPr="009A7CD7">
        <w:t>Il Ministro del lavoro e delle politiche sociali</w:t>
      </w:r>
    </w:p>
    <w:p w14:paraId="4A8A9187" w14:textId="43CA554C" w:rsidR="0077641C" w:rsidRPr="009A7CD7" w:rsidRDefault="006E32BF" w:rsidP="00686025">
      <w:pPr>
        <w:jc w:val="center"/>
      </w:pPr>
      <w:r w:rsidRPr="009A7CD7">
        <w:t>Marina Elvira Calderone</w:t>
      </w:r>
    </w:p>
    <w:p w14:paraId="00521D81" w14:textId="77777777" w:rsidR="00686025" w:rsidRPr="009A7CD7" w:rsidRDefault="00686025" w:rsidP="00686025">
      <w:pPr>
        <w:jc w:val="center"/>
      </w:pPr>
    </w:p>
    <w:p w14:paraId="6A36EA53" w14:textId="11302D9A" w:rsidR="00AF707C" w:rsidRPr="009A7CD7" w:rsidRDefault="00AF707C" w:rsidP="00686025">
      <w:pPr>
        <w:jc w:val="center"/>
      </w:pPr>
      <w:r w:rsidRPr="009A7CD7">
        <w:t>Il Ministro dell’economia e delle finanze</w:t>
      </w:r>
    </w:p>
    <w:p w14:paraId="7FA3402C" w14:textId="261D984B" w:rsidR="00777BDD" w:rsidRPr="009A7CD7" w:rsidRDefault="006E32BF" w:rsidP="00671EE5">
      <w:pPr>
        <w:jc w:val="center"/>
      </w:pPr>
      <w:r w:rsidRPr="009A7CD7">
        <w:t xml:space="preserve">Giancarlo Giorgetti </w:t>
      </w:r>
    </w:p>
    <w:p w14:paraId="573DDA76" w14:textId="77777777" w:rsidR="00777BDD" w:rsidRPr="009A7CD7" w:rsidRDefault="00777BDD" w:rsidP="00686025">
      <w:pPr>
        <w:jc w:val="center"/>
      </w:pPr>
    </w:p>
    <w:p w14:paraId="3FAFA08B" w14:textId="34E1D890" w:rsidR="00AF707C" w:rsidRPr="009A7CD7" w:rsidRDefault="00AF707C" w:rsidP="00686025">
      <w:pPr>
        <w:jc w:val="center"/>
      </w:pPr>
      <w:r w:rsidRPr="009A7CD7">
        <w:t>Il Ministro della salute</w:t>
      </w:r>
    </w:p>
    <w:p w14:paraId="54B5D1BC" w14:textId="1BD682A6" w:rsidR="00686025" w:rsidRPr="009A7CD7" w:rsidRDefault="00D432FE" w:rsidP="00686025">
      <w:pPr>
        <w:tabs>
          <w:tab w:val="left" w:pos="680"/>
        </w:tabs>
        <w:ind w:right="106"/>
        <w:jc w:val="center"/>
      </w:pPr>
      <w:r w:rsidRPr="009A7CD7">
        <w:t xml:space="preserve">Orazio Schillaci </w:t>
      </w:r>
    </w:p>
    <w:p w14:paraId="24C86A2A" w14:textId="77777777" w:rsidR="00777BDD" w:rsidRPr="009A7CD7" w:rsidRDefault="00777BDD">
      <w:pPr>
        <w:spacing w:after="160" w:line="259" w:lineRule="auto"/>
      </w:pPr>
    </w:p>
    <w:p w14:paraId="03DFD2A5" w14:textId="77777777" w:rsidR="00E66E24" w:rsidRPr="009A7CD7" w:rsidRDefault="00E66E24">
      <w:pPr>
        <w:spacing w:after="160" w:line="259" w:lineRule="auto"/>
        <w:rPr>
          <w:i/>
          <w:iCs/>
        </w:rPr>
      </w:pPr>
    </w:p>
    <w:p w14:paraId="42658613" w14:textId="5AA84159" w:rsidR="00777BDD" w:rsidRPr="009A7CD7" w:rsidRDefault="00777BDD">
      <w:pPr>
        <w:spacing w:after="160" w:line="259" w:lineRule="auto"/>
        <w:rPr>
          <w:i/>
          <w:iCs/>
        </w:rPr>
      </w:pPr>
      <w:r w:rsidRPr="009A7CD7">
        <w:rPr>
          <w:i/>
          <w:iCs/>
        </w:rPr>
        <w:t xml:space="preserve">Allegati: </w:t>
      </w:r>
    </w:p>
    <w:p w14:paraId="43EC591D" w14:textId="2095C639" w:rsidR="00777BDD" w:rsidRPr="009A7CD7" w:rsidRDefault="005E270B">
      <w:pPr>
        <w:spacing w:after="160" w:line="259" w:lineRule="auto"/>
      </w:pPr>
      <w:r w:rsidRPr="009A7CD7">
        <w:t>A</w:t>
      </w:r>
      <w:r w:rsidR="00E66E24" w:rsidRPr="009A7CD7">
        <w:t xml:space="preserve"> – </w:t>
      </w:r>
      <w:r w:rsidRPr="009A7CD7">
        <w:t>B</w:t>
      </w:r>
      <w:r w:rsidR="00E66E24" w:rsidRPr="009A7CD7">
        <w:t xml:space="preserve"> – </w:t>
      </w:r>
      <w:r w:rsidRPr="009A7CD7">
        <w:t>C</w:t>
      </w:r>
      <w:r w:rsidR="00E66E24" w:rsidRPr="009A7CD7">
        <w:t xml:space="preserve"> – </w:t>
      </w:r>
      <w:r w:rsidRPr="009A7CD7">
        <w:t>D</w:t>
      </w:r>
      <w:r w:rsidR="00E66E24" w:rsidRPr="009A7CD7">
        <w:t xml:space="preserve"> </w:t>
      </w:r>
      <w:r w:rsidR="00E926D9" w:rsidRPr="009A7CD7">
        <w:t>–</w:t>
      </w:r>
      <w:r w:rsidR="00E66E24" w:rsidRPr="009A7CD7">
        <w:t xml:space="preserve"> </w:t>
      </w:r>
      <w:r w:rsidR="00C42866" w:rsidRPr="009A7CD7">
        <w:t>E</w:t>
      </w:r>
      <w:r w:rsidR="00E926D9" w:rsidRPr="009A7CD7">
        <w:t xml:space="preserve"> – F</w:t>
      </w:r>
      <w:r w:rsidR="00C91D27" w:rsidRPr="009A7CD7">
        <w:t xml:space="preserve"> – G</w:t>
      </w:r>
      <w:r w:rsidR="002B6DB6" w:rsidRPr="009A7CD7">
        <w:t xml:space="preserve"> </w:t>
      </w:r>
    </w:p>
    <w:p w14:paraId="1E3ED714" w14:textId="7E4BF753" w:rsidR="00826533" w:rsidRPr="009A7CD7" w:rsidRDefault="00826533">
      <w:pPr>
        <w:spacing w:after="160" w:line="259" w:lineRule="auto"/>
      </w:pPr>
      <w:r w:rsidRPr="009A7CD7">
        <w:br w:type="page"/>
      </w:r>
    </w:p>
    <w:tbl>
      <w:tblPr>
        <w:tblpPr w:leftFromText="141" w:rightFromText="141" w:vertAnchor="text" w:horzAnchor="margin" w:tblpXSpec="center" w:tblpY="6"/>
        <w:tblW w:w="10485" w:type="dxa"/>
        <w:tblLayout w:type="fixed"/>
        <w:tblCellMar>
          <w:left w:w="70" w:type="dxa"/>
          <w:right w:w="70" w:type="dxa"/>
        </w:tblCellMar>
        <w:tblLook w:val="04A0" w:firstRow="1" w:lastRow="0" w:firstColumn="1" w:lastColumn="0" w:noHBand="0" w:noVBand="1"/>
      </w:tblPr>
      <w:tblGrid>
        <w:gridCol w:w="1271"/>
        <w:gridCol w:w="1418"/>
        <w:gridCol w:w="2126"/>
        <w:gridCol w:w="1417"/>
        <w:gridCol w:w="1418"/>
        <w:gridCol w:w="1417"/>
        <w:gridCol w:w="1418"/>
      </w:tblGrid>
      <w:tr w:rsidR="00071A7B" w:rsidRPr="009A7CD7" w14:paraId="7EF4639E" w14:textId="77777777" w:rsidTr="00071A7B">
        <w:trPr>
          <w:trHeight w:val="694"/>
        </w:trPr>
        <w:tc>
          <w:tcPr>
            <w:tcW w:w="10485" w:type="dxa"/>
            <w:gridSpan w:val="7"/>
            <w:tcBorders>
              <w:top w:val="single" w:sz="4" w:space="0" w:color="auto"/>
              <w:left w:val="single" w:sz="4" w:space="0" w:color="auto"/>
              <w:bottom w:val="single" w:sz="4" w:space="0" w:color="auto"/>
              <w:right w:val="single" w:sz="4" w:space="0" w:color="auto"/>
            </w:tcBorders>
            <w:noWrap/>
            <w:vAlign w:val="center"/>
          </w:tcPr>
          <w:p w14:paraId="71333B23" w14:textId="77777777" w:rsidR="00164CF7" w:rsidRPr="009A7CD7" w:rsidRDefault="00071A7B" w:rsidP="00EF0B83">
            <w:pPr>
              <w:tabs>
                <w:tab w:val="left" w:pos="680"/>
              </w:tabs>
              <w:jc w:val="center"/>
              <w:rPr>
                <w:rFonts w:eastAsia="Calibri"/>
                <w:b/>
                <w:bCs/>
                <w:shd w:val="clear" w:color="auto" w:fill="FFFFFF"/>
              </w:rPr>
            </w:pPr>
            <w:r w:rsidRPr="009A7CD7">
              <w:rPr>
                <w:rFonts w:eastAsia="Calibri"/>
                <w:b/>
                <w:bCs/>
                <w:shd w:val="clear" w:color="auto" w:fill="FFFFFF"/>
              </w:rPr>
              <w:lastRenderedPageBreak/>
              <w:t xml:space="preserve">Tabella 1 </w:t>
            </w:r>
          </w:p>
          <w:p w14:paraId="5B9BB179" w14:textId="445370C9" w:rsidR="00164CF7" w:rsidRPr="009A7CD7" w:rsidRDefault="00071A7B" w:rsidP="00354918">
            <w:pPr>
              <w:tabs>
                <w:tab w:val="left" w:pos="680"/>
              </w:tabs>
              <w:jc w:val="center"/>
              <w:rPr>
                <w:rFonts w:eastAsia="Calibri"/>
                <w:b/>
                <w:bCs/>
                <w:shd w:val="clear" w:color="auto" w:fill="FFFFFF"/>
              </w:rPr>
            </w:pPr>
            <w:r w:rsidRPr="009A7CD7">
              <w:rPr>
                <w:rFonts w:eastAsia="Calibri"/>
                <w:b/>
                <w:bCs/>
                <w:shd w:val="clear" w:color="auto" w:fill="FFFFFF"/>
              </w:rPr>
              <w:t>Quota indistinta per il triennio 2025-2027</w:t>
            </w:r>
          </w:p>
        </w:tc>
      </w:tr>
      <w:tr w:rsidR="003516BC" w:rsidRPr="009A7CD7" w14:paraId="5343F84D" w14:textId="77777777" w:rsidTr="00692AE4">
        <w:trPr>
          <w:trHeight w:val="345"/>
        </w:trPr>
        <w:tc>
          <w:tcPr>
            <w:tcW w:w="1271" w:type="dxa"/>
            <w:tcBorders>
              <w:top w:val="single" w:sz="4" w:space="0" w:color="auto"/>
              <w:left w:val="single" w:sz="4" w:space="0" w:color="auto"/>
              <w:bottom w:val="single" w:sz="4" w:space="0" w:color="auto"/>
              <w:right w:val="single" w:sz="4" w:space="0" w:color="auto"/>
            </w:tcBorders>
            <w:vAlign w:val="center"/>
          </w:tcPr>
          <w:p w14:paraId="6F734278" w14:textId="4DC4AAF2" w:rsidR="003516BC" w:rsidRPr="009A7CD7" w:rsidRDefault="003516BC" w:rsidP="003516BC">
            <w:pPr>
              <w:jc w:val="center"/>
              <w:rPr>
                <w:b/>
                <w:bCs/>
                <w:color w:val="000000"/>
                <w:sz w:val="22"/>
                <w:szCs w:val="22"/>
              </w:rPr>
            </w:pPr>
            <w:r w:rsidRPr="009A7CD7">
              <w:rPr>
                <w:b/>
                <w:bCs/>
                <w:color w:val="000000"/>
                <w:sz w:val="22"/>
                <w:szCs w:val="22"/>
              </w:rPr>
              <w:t>Regioni</w:t>
            </w:r>
          </w:p>
        </w:tc>
        <w:tc>
          <w:tcPr>
            <w:tcW w:w="1418" w:type="dxa"/>
            <w:tcBorders>
              <w:top w:val="single" w:sz="4" w:space="0" w:color="auto"/>
              <w:left w:val="single" w:sz="4" w:space="0" w:color="auto"/>
              <w:bottom w:val="single" w:sz="4" w:space="0" w:color="auto"/>
              <w:right w:val="single" w:sz="4" w:space="0" w:color="auto"/>
            </w:tcBorders>
            <w:vAlign w:val="center"/>
          </w:tcPr>
          <w:p w14:paraId="33C9EC35" w14:textId="0CDED3C5" w:rsidR="003516BC" w:rsidRPr="009A7CD7" w:rsidRDefault="003516BC" w:rsidP="003516BC">
            <w:pPr>
              <w:jc w:val="center"/>
              <w:rPr>
                <w:b/>
                <w:bCs/>
                <w:color w:val="000000"/>
                <w:sz w:val="22"/>
                <w:szCs w:val="22"/>
              </w:rPr>
            </w:pPr>
            <w:r w:rsidRPr="009A7CD7">
              <w:rPr>
                <w:b/>
                <w:bCs/>
                <w:color w:val="000000"/>
                <w:sz w:val="22"/>
                <w:szCs w:val="22"/>
              </w:rPr>
              <w:t>Popolazione residente (75+)</w:t>
            </w:r>
          </w:p>
        </w:tc>
        <w:tc>
          <w:tcPr>
            <w:tcW w:w="2126" w:type="dxa"/>
            <w:tcBorders>
              <w:top w:val="single" w:sz="4" w:space="0" w:color="auto"/>
              <w:left w:val="single" w:sz="4" w:space="0" w:color="auto"/>
              <w:bottom w:val="single" w:sz="4" w:space="0" w:color="auto"/>
              <w:right w:val="single" w:sz="4" w:space="0" w:color="auto"/>
            </w:tcBorders>
            <w:vAlign w:val="center"/>
          </w:tcPr>
          <w:p w14:paraId="64777568" w14:textId="720094FC" w:rsidR="003516BC" w:rsidRPr="009A7CD7" w:rsidRDefault="00164CF7" w:rsidP="003516BC">
            <w:pPr>
              <w:jc w:val="center"/>
              <w:rPr>
                <w:b/>
                <w:bCs/>
                <w:color w:val="000000"/>
                <w:sz w:val="22"/>
                <w:szCs w:val="22"/>
              </w:rPr>
            </w:pPr>
            <w:r w:rsidRPr="009A7CD7">
              <w:rPr>
                <w:b/>
                <w:bCs/>
                <w:color w:val="000000"/>
                <w:sz w:val="22"/>
                <w:szCs w:val="22"/>
              </w:rPr>
              <w:t>Popolazione con i</w:t>
            </w:r>
            <w:r w:rsidR="003516BC" w:rsidRPr="009A7CD7">
              <w:rPr>
                <w:b/>
                <w:bCs/>
                <w:color w:val="000000"/>
                <w:sz w:val="22"/>
                <w:szCs w:val="22"/>
              </w:rPr>
              <w:t>ndennità</w:t>
            </w:r>
            <w:r w:rsidRPr="009A7CD7">
              <w:rPr>
                <w:b/>
                <w:bCs/>
                <w:color w:val="000000"/>
                <w:sz w:val="22"/>
                <w:szCs w:val="22"/>
              </w:rPr>
              <w:t xml:space="preserve"> di</w:t>
            </w:r>
            <w:r w:rsidR="003516BC" w:rsidRPr="009A7CD7">
              <w:rPr>
                <w:b/>
                <w:bCs/>
                <w:color w:val="000000"/>
                <w:sz w:val="22"/>
                <w:szCs w:val="22"/>
              </w:rPr>
              <w:t xml:space="preserve"> accompagnamento</w:t>
            </w:r>
          </w:p>
        </w:tc>
        <w:tc>
          <w:tcPr>
            <w:tcW w:w="1417" w:type="dxa"/>
            <w:tcBorders>
              <w:top w:val="single" w:sz="4" w:space="0" w:color="auto"/>
              <w:left w:val="single" w:sz="4" w:space="0" w:color="auto"/>
              <w:bottom w:val="single" w:sz="4" w:space="0" w:color="auto"/>
              <w:right w:val="single" w:sz="4" w:space="0" w:color="auto"/>
            </w:tcBorders>
            <w:vAlign w:val="center"/>
          </w:tcPr>
          <w:p w14:paraId="55E013E9" w14:textId="4295EA5D" w:rsidR="003516BC" w:rsidRPr="009A7CD7" w:rsidRDefault="003255A5" w:rsidP="003516BC">
            <w:pPr>
              <w:jc w:val="center"/>
              <w:rPr>
                <w:b/>
                <w:bCs/>
                <w:color w:val="000000"/>
                <w:sz w:val="22"/>
                <w:szCs w:val="22"/>
              </w:rPr>
            </w:pPr>
            <w:r w:rsidRPr="009A7CD7">
              <w:rPr>
                <w:b/>
                <w:bCs/>
                <w:color w:val="000000"/>
                <w:sz w:val="22"/>
                <w:szCs w:val="22"/>
              </w:rPr>
              <w:t>Popolazione con certificazione a</w:t>
            </w:r>
            <w:r w:rsidR="003516BC" w:rsidRPr="009A7CD7">
              <w:rPr>
                <w:b/>
                <w:bCs/>
                <w:color w:val="000000"/>
                <w:sz w:val="22"/>
                <w:szCs w:val="22"/>
              </w:rPr>
              <w:t>rt. 3, comma 3, della legge 104/1992</w:t>
            </w:r>
          </w:p>
        </w:tc>
        <w:tc>
          <w:tcPr>
            <w:tcW w:w="4253" w:type="dxa"/>
            <w:gridSpan w:val="3"/>
            <w:tcBorders>
              <w:top w:val="nil"/>
              <w:left w:val="nil"/>
              <w:bottom w:val="single" w:sz="4" w:space="0" w:color="auto"/>
              <w:right w:val="single" w:sz="4" w:space="0" w:color="auto"/>
            </w:tcBorders>
            <w:noWrap/>
            <w:vAlign w:val="center"/>
          </w:tcPr>
          <w:p w14:paraId="4FFDB635" w14:textId="47448917" w:rsidR="003516BC" w:rsidRPr="009A7CD7" w:rsidRDefault="003516BC" w:rsidP="003516BC">
            <w:pPr>
              <w:jc w:val="center"/>
              <w:rPr>
                <w:b/>
                <w:bCs/>
                <w:color w:val="000000"/>
                <w:sz w:val="22"/>
                <w:szCs w:val="22"/>
              </w:rPr>
            </w:pPr>
            <w:r w:rsidRPr="009A7CD7">
              <w:rPr>
                <w:b/>
                <w:bCs/>
                <w:color w:val="000000"/>
                <w:sz w:val="22"/>
                <w:szCs w:val="22"/>
              </w:rPr>
              <w:t>Importo quota indistinta</w:t>
            </w:r>
            <w:r w:rsidR="00E16B2B" w:rsidRPr="009A7CD7">
              <w:rPr>
                <w:b/>
                <w:bCs/>
                <w:color w:val="000000"/>
                <w:sz w:val="22"/>
                <w:szCs w:val="22"/>
              </w:rPr>
              <w:t>*</w:t>
            </w:r>
          </w:p>
        </w:tc>
      </w:tr>
      <w:tr w:rsidR="003516BC" w:rsidRPr="009A7CD7" w14:paraId="65793000" w14:textId="77777777" w:rsidTr="000A6D02">
        <w:trPr>
          <w:trHeight w:val="345"/>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4B8E5050" w14:textId="77777777" w:rsidR="003516BC" w:rsidRPr="009A7CD7" w:rsidRDefault="003516BC" w:rsidP="003516BC">
            <w:pPr>
              <w:rPr>
                <w:b/>
                <w:bCs/>
                <w:color w:val="000000"/>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DABDCF0" w14:textId="77777777" w:rsidR="003516BC" w:rsidRPr="009A7CD7" w:rsidRDefault="003516BC" w:rsidP="003516BC">
            <w:pPr>
              <w:rPr>
                <w:b/>
                <w:bCs/>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547AECB" w14:textId="77777777" w:rsidR="003516BC" w:rsidRPr="009A7CD7" w:rsidRDefault="003516BC" w:rsidP="003516BC">
            <w:pP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A095FCA" w14:textId="77777777" w:rsidR="003516BC" w:rsidRPr="009A7CD7" w:rsidRDefault="003516BC" w:rsidP="003516BC">
            <w:pPr>
              <w:rPr>
                <w:b/>
                <w:bCs/>
                <w:color w:val="000000"/>
                <w:sz w:val="22"/>
                <w:szCs w:val="22"/>
              </w:rPr>
            </w:pPr>
          </w:p>
        </w:tc>
        <w:tc>
          <w:tcPr>
            <w:tcW w:w="1418" w:type="dxa"/>
            <w:tcBorders>
              <w:top w:val="nil"/>
              <w:left w:val="nil"/>
              <w:bottom w:val="single" w:sz="4" w:space="0" w:color="auto"/>
              <w:right w:val="single" w:sz="4" w:space="0" w:color="auto"/>
            </w:tcBorders>
            <w:noWrap/>
            <w:vAlign w:val="center"/>
            <w:hideMark/>
          </w:tcPr>
          <w:p w14:paraId="74AC8B24" w14:textId="77777777" w:rsidR="003516BC" w:rsidRPr="009A7CD7" w:rsidRDefault="003516BC" w:rsidP="003516BC">
            <w:pPr>
              <w:jc w:val="center"/>
              <w:rPr>
                <w:b/>
                <w:bCs/>
                <w:color w:val="000000"/>
                <w:sz w:val="22"/>
                <w:szCs w:val="22"/>
              </w:rPr>
            </w:pPr>
            <w:r w:rsidRPr="009A7CD7">
              <w:rPr>
                <w:b/>
                <w:bCs/>
                <w:color w:val="000000"/>
                <w:sz w:val="22"/>
                <w:szCs w:val="22"/>
              </w:rPr>
              <w:t>2025</w:t>
            </w:r>
          </w:p>
        </w:tc>
        <w:tc>
          <w:tcPr>
            <w:tcW w:w="1417" w:type="dxa"/>
            <w:tcBorders>
              <w:top w:val="nil"/>
              <w:left w:val="nil"/>
              <w:bottom w:val="single" w:sz="4" w:space="0" w:color="auto"/>
              <w:right w:val="single" w:sz="4" w:space="0" w:color="auto"/>
            </w:tcBorders>
            <w:noWrap/>
            <w:vAlign w:val="center"/>
            <w:hideMark/>
          </w:tcPr>
          <w:p w14:paraId="1A62DE37" w14:textId="77777777" w:rsidR="003516BC" w:rsidRPr="009A7CD7" w:rsidRDefault="003516BC" w:rsidP="003516BC">
            <w:pPr>
              <w:jc w:val="center"/>
              <w:rPr>
                <w:b/>
                <w:bCs/>
                <w:color w:val="000000"/>
                <w:sz w:val="22"/>
                <w:szCs w:val="22"/>
              </w:rPr>
            </w:pPr>
            <w:r w:rsidRPr="009A7CD7">
              <w:rPr>
                <w:b/>
                <w:bCs/>
                <w:color w:val="000000"/>
                <w:sz w:val="22"/>
                <w:szCs w:val="22"/>
              </w:rPr>
              <w:t>2026</w:t>
            </w:r>
          </w:p>
        </w:tc>
        <w:tc>
          <w:tcPr>
            <w:tcW w:w="1418" w:type="dxa"/>
            <w:tcBorders>
              <w:top w:val="nil"/>
              <w:left w:val="nil"/>
              <w:bottom w:val="single" w:sz="4" w:space="0" w:color="auto"/>
              <w:right w:val="single" w:sz="4" w:space="0" w:color="auto"/>
            </w:tcBorders>
            <w:noWrap/>
            <w:vAlign w:val="center"/>
            <w:hideMark/>
          </w:tcPr>
          <w:p w14:paraId="5DF39A74" w14:textId="77777777" w:rsidR="003516BC" w:rsidRPr="009A7CD7" w:rsidRDefault="003516BC" w:rsidP="003516BC">
            <w:pPr>
              <w:jc w:val="center"/>
              <w:rPr>
                <w:b/>
                <w:bCs/>
                <w:color w:val="000000"/>
                <w:sz w:val="22"/>
                <w:szCs w:val="22"/>
              </w:rPr>
            </w:pPr>
            <w:r w:rsidRPr="009A7CD7">
              <w:rPr>
                <w:b/>
                <w:bCs/>
                <w:color w:val="000000"/>
                <w:sz w:val="22"/>
                <w:szCs w:val="22"/>
              </w:rPr>
              <w:t>2027</w:t>
            </w:r>
          </w:p>
        </w:tc>
      </w:tr>
      <w:tr w:rsidR="003516BC" w:rsidRPr="009A7CD7" w14:paraId="25EB1EE8" w14:textId="77777777" w:rsidTr="000A6D02">
        <w:trPr>
          <w:trHeight w:val="308"/>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7533645C" w14:textId="77777777" w:rsidR="003516BC" w:rsidRPr="009A7CD7" w:rsidRDefault="003516BC" w:rsidP="003516BC">
            <w:pPr>
              <w:rPr>
                <w:b/>
                <w:bCs/>
                <w:color w:val="000000"/>
              </w:rPr>
            </w:pPr>
          </w:p>
        </w:tc>
        <w:tc>
          <w:tcPr>
            <w:tcW w:w="1418" w:type="dxa"/>
            <w:tcBorders>
              <w:top w:val="nil"/>
              <w:left w:val="nil"/>
              <w:bottom w:val="single" w:sz="4" w:space="0" w:color="auto"/>
              <w:right w:val="single" w:sz="4" w:space="0" w:color="auto"/>
            </w:tcBorders>
            <w:vAlign w:val="bottom"/>
            <w:hideMark/>
          </w:tcPr>
          <w:p w14:paraId="4F9E20FF" w14:textId="77777777" w:rsidR="003516BC" w:rsidRPr="009A7CD7" w:rsidRDefault="003516BC" w:rsidP="003516BC">
            <w:pPr>
              <w:jc w:val="center"/>
              <w:rPr>
                <w:b/>
                <w:bCs/>
                <w:color w:val="000000"/>
                <w:sz w:val="22"/>
                <w:szCs w:val="22"/>
              </w:rPr>
            </w:pPr>
            <w:r w:rsidRPr="009A7CD7">
              <w:rPr>
                <w:b/>
                <w:bCs/>
                <w:color w:val="000000"/>
                <w:sz w:val="22"/>
                <w:szCs w:val="22"/>
              </w:rPr>
              <w:t>%</w:t>
            </w:r>
          </w:p>
        </w:tc>
        <w:tc>
          <w:tcPr>
            <w:tcW w:w="2126" w:type="dxa"/>
            <w:tcBorders>
              <w:top w:val="nil"/>
              <w:left w:val="nil"/>
              <w:bottom w:val="single" w:sz="4" w:space="0" w:color="auto"/>
              <w:right w:val="single" w:sz="4" w:space="0" w:color="auto"/>
            </w:tcBorders>
            <w:vAlign w:val="bottom"/>
            <w:hideMark/>
          </w:tcPr>
          <w:p w14:paraId="0064AEFB" w14:textId="77777777" w:rsidR="003516BC" w:rsidRPr="009A7CD7" w:rsidRDefault="003516BC" w:rsidP="003516BC">
            <w:pPr>
              <w:jc w:val="center"/>
              <w:rPr>
                <w:b/>
                <w:bCs/>
                <w:color w:val="000000"/>
                <w:sz w:val="22"/>
                <w:szCs w:val="22"/>
              </w:rPr>
            </w:pPr>
            <w:r w:rsidRPr="009A7CD7">
              <w:rPr>
                <w:b/>
                <w:bCs/>
                <w:color w:val="000000"/>
                <w:sz w:val="22"/>
                <w:szCs w:val="22"/>
              </w:rPr>
              <w:t>%</w:t>
            </w:r>
          </w:p>
        </w:tc>
        <w:tc>
          <w:tcPr>
            <w:tcW w:w="1417" w:type="dxa"/>
            <w:tcBorders>
              <w:top w:val="nil"/>
              <w:left w:val="nil"/>
              <w:bottom w:val="single" w:sz="4" w:space="0" w:color="auto"/>
              <w:right w:val="single" w:sz="4" w:space="0" w:color="auto"/>
            </w:tcBorders>
            <w:vAlign w:val="bottom"/>
            <w:hideMark/>
          </w:tcPr>
          <w:p w14:paraId="31998C94" w14:textId="77777777" w:rsidR="003516BC" w:rsidRPr="009A7CD7" w:rsidRDefault="003516BC" w:rsidP="003516BC">
            <w:pPr>
              <w:jc w:val="center"/>
              <w:rPr>
                <w:b/>
                <w:bCs/>
                <w:color w:val="000000"/>
                <w:sz w:val="22"/>
                <w:szCs w:val="22"/>
              </w:rPr>
            </w:pPr>
            <w:r w:rsidRPr="009A7CD7">
              <w:rPr>
                <w:b/>
                <w:bCs/>
                <w:color w:val="000000"/>
                <w:sz w:val="22"/>
                <w:szCs w:val="22"/>
              </w:rPr>
              <w:t>%</w:t>
            </w:r>
          </w:p>
        </w:tc>
        <w:tc>
          <w:tcPr>
            <w:tcW w:w="1418" w:type="dxa"/>
            <w:tcBorders>
              <w:top w:val="nil"/>
              <w:left w:val="nil"/>
              <w:bottom w:val="single" w:sz="4" w:space="0" w:color="auto"/>
              <w:right w:val="single" w:sz="4" w:space="0" w:color="auto"/>
            </w:tcBorders>
            <w:vAlign w:val="center"/>
            <w:hideMark/>
          </w:tcPr>
          <w:p w14:paraId="6AB2E8D9" w14:textId="275CE261" w:rsidR="003516BC" w:rsidRPr="009A7CD7" w:rsidRDefault="00A56FA9" w:rsidP="003516BC">
            <w:pPr>
              <w:jc w:val="center"/>
              <w:rPr>
                <w:b/>
                <w:bCs/>
                <w:color w:val="000000"/>
                <w:sz w:val="22"/>
                <w:szCs w:val="22"/>
              </w:rPr>
            </w:pPr>
            <w:r w:rsidRPr="009A7CD7">
              <w:rPr>
                <w:b/>
                <w:bCs/>
                <w:color w:val="000000"/>
                <w:sz w:val="22"/>
                <w:szCs w:val="22"/>
              </w:rPr>
              <w:t>Euro</w:t>
            </w:r>
          </w:p>
        </w:tc>
        <w:tc>
          <w:tcPr>
            <w:tcW w:w="1417" w:type="dxa"/>
            <w:tcBorders>
              <w:top w:val="nil"/>
              <w:left w:val="nil"/>
              <w:bottom w:val="single" w:sz="4" w:space="0" w:color="auto"/>
              <w:right w:val="single" w:sz="4" w:space="0" w:color="auto"/>
            </w:tcBorders>
            <w:vAlign w:val="center"/>
            <w:hideMark/>
          </w:tcPr>
          <w:p w14:paraId="6C9BC850" w14:textId="4D9E730D" w:rsidR="003516BC" w:rsidRPr="009A7CD7" w:rsidRDefault="00A56FA9" w:rsidP="003516BC">
            <w:pPr>
              <w:jc w:val="center"/>
              <w:rPr>
                <w:b/>
                <w:bCs/>
                <w:color w:val="000000"/>
                <w:sz w:val="22"/>
                <w:szCs w:val="22"/>
              </w:rPr>
            </w:pPr>
            <w:r w:rsidRPr="009A7CD7">
              <w:rPr>
                <w:b/>
                <w:bCs/>
                <w:color w:val="000000"/>
                <w:sz w:val="22"/>
                <w:szCs w:val="22"/>
              </w:rPr>
              <w:t>Euro</w:t>
            </w:r>
          </w:p>
        </w:tc>
        <w:tc>
          <w:tcPr>
            <w:tcW w:w="1418" w:type="dxa"/>
            <w:tcBorders>
              <w:top w:val="nil"/>
              <w:left w:val="nil"/>
              <w:bottom w:val="single" w:sz="4" w:space="0" w:color="auto"/>
              <w:right w:val="single" w:sz="4" w:space="0" w:color="auto"/>
            </w:tcBorders>
            <w:vAlign w:val="center"/>
            <w:hideMark/>
          </w:tcPr>
          <w:p w14:paraId="2F608C17" w14:textId="0EBF2CAD" w:rsidR="003516BC" w:rsidRPr="009A7CD7" w:rsidRDefault="00A56FA9" w:rsidP="003516BC">
            <w:pPr>
              <w:jc w:val="center"/>
              <w:rPr>
                <w:b/>
                <w:bCs/>
                <w:color w:val="000000"/>
                <w:sz w:val="22"/>
                <w:szCs w:val="22"/>
              </w:rPr>
            </w:pPr>
            <w:r w:rsidRPr="009A7CD7">
              <w:rPr>
                <w:b/>
                <w:bCs/>
                <w:color w:val="000000"/>
                <w:sz w:val="22"/>
                <w:szCs w:val="22"/>
              </w:rPr>
              <w:t>Euro</w:t>
            </w:r>
          </w:p>
        </w:tc>
      </w:tr>
      <w:tr w:rsidR="003516BC" w:rsidRPr="009A7CD7" w14:paraId="6B3BECF0" w14:textId="77777777" w:rsidTr="00692AE4">
        <w:trPr>
          <w:trHeight w:val="310"/>
        </w:trPr>
        <w:tc>
          <w:tcPr>
            <w:tcW w:w="1271" w:type="dxa"/>
            <w:tcBorders>
              <w:top w:val="nil"/>
              <w:left w:val="single" w:sz="4" w:space="0" w:color="auto"/>
              <w:bottom w:val="single" w:sz="4" w:space="0" w:color="auto"/>
              <w:right w:val="single" w:sz="4" w:space="0" w:color="auto"/>
            </w:tcBorders>
            <w:noWrap/>
            <w:vAlign w:val="bottom"/>
            <w:hideMark/>
          </w:tcPr>
          <w:p w14:paraId="480D67DF" w14:textId="77777777" w:rsidR="003516BC" w:rsidRPr="009A7CD7" w:rsidRDefault="003516BC" w:rsidP="003516BC">
            <w:pPr>
              <w:rPr>
                <w:color w:val="000000"/>
                <w:sz w:val="22"/>
                <w:szCs w:val="22"/>
              </w:rPr>
            </w:pPr>
            <w:r w:rsidRPr="009A7CD7">
              <w:rPr>
                <w:color w:val="000000"/>
                <w:sz w:val="22"/>
                <w:szCs w:val="22"/>
              </w:rPr>
              <w:t>Abruzzo</w:t>
            </w:r>
          </w:p>
        </w:tc>
        <w:tc>
          <w:tcPr>
            <w:tcW w:w="1418" w:type="dxa"/>
            <w:tcBorders>
              <w:top w:val="nil"/>
              <w:left w:val="nil"/>
              <w:bottom w:val="single" w:sz="4" w:space="0" w:color="auto"/>
              <w:right w:val="single" w:sz="4" w:space="0" w:color="auto"/>
            </w:tcBorders>
            <w:noWrap/>
            <w:vAlign w:val="center"/>
            <w:hideMark/>
          </w:tcPr>
          <w:p w14:paraId="4556BBB0" w14:textId="77777777" w:rsidR="003516BC" w:rsidRPr="009A7CD7" w:rsidRDefault="003516BC" w:rsidP="003516BC">
            <w:pPr>
              <w:jc w:val="center"/>
              <w:rPr>
                <w:color w:val="000000"/>
                <w:sz w:val="22"/>
                <w:szCs w:val="22"/>
              </w:rPr>
            </w:pPr>
            <w:r w:rsidRPr="009A7CD7">
              <w:rPr>
                <w:color w:val="000000"/>
                <w:sz w:val="22"/>
                <w:szCs w:val="22"/>
              </w:rPr>
              <w:t>2,2742</w:t>
            </w:r>
          </w:p>
        </w:tc>
        <w:tc>
          <w:tcPr>
            <w:tcW w:w="2126" w:type="dxa"/>
            <w:tcBorders>
              <w:top w:val="nil"/>
              <w:left w:val="nil"/>
              <w:bottom w:val="single" w:sz="4" w:space="0" w:color="auto"/>
              <w:right w:val="single" w:sz="4" w:space="0" w:color="auto"/>
            </w:tcBorders>
            <w:noWrap/>
            <w:vAlign w:val="center"/>
            <w:hideMark/>
          </w:tcPr>
          <w:p w14:paraId="2B6B3B6F" w14:textId="77777777" w:rsidR="003516BC" w:rsidRPr="009A7CD7" w:rsidRDefault="003516BC" w:rsidP="003516BC">
            <w:pPr>
              <w:jc w:val="center"/>
              <w:rPr>
                <w:color w:val="000000"/>
                <w:sz w:val="22"/>
                <w:szCs w:val="22"/>
              </w:rPr>
            </w:pPr>
            <w:r w:rsidRPr="009A7CD7">
              <w:rPr>
                <w:color w:val="000000"/>
                <w:sz w:val="22"/>
                <w:szCs w:val="22"/>
              </w:rPr>
              <w:t>2,2687</w:t>
            </w:r>
          </w:p>
        </w:tc>
        <w:tc>
          <w:tcPr>
            <w:tcW w:w="1417" w:type="dxa"/>
            <w:tcBorders>
              <w:top w:val="nil"/>
              <w:left w:val="nil"/>
              <w:bottom w:val="single" w:sz="4" w:space="0" w:color="auto"/>
              <w:right w:val="single" w:sz="4" w:space="0" w:color="auto"/>
            </w:tcBorders>
            <w:noWrap/>
            <w:vAlign w:val="center"/>
            <w:hideMark/>
          </w:tcPr>
          <w:p w14:paraId="4BD3EBC3" w14:textId="77777777" w:rsidR="003516BC" w:rsidRPr="009A7CD7" w:rsidRDefault="003516BC" w:rsidP="003516BC">
            <w:pPr>
              <w:jc w:val="center"/>
              <w:rPr>
                <w:color w:val="000000"/>
                <w:sz w:val="22"/>
                <w:szCs w:val="22"/>
              </w:rPr>
            </w:pPr>
            <w:r w:rsidRPr="009A7CD7">
              <w:rPr>
                <w:color w:val="000000"/>
                <w:sz w:val="22"/>
                <w:szCs w:val="22"/>
              </w:rPr>
              <w:t>1,8342</w:t>
            </w:r>
          </w:p>
        </w:tc>
        <w:tc>
          <w:tcPr>
            <w:tcW w:w="1418" w:type="dxa"/>
            <w:tcBorders>
              <w:top w:val="nil"/>
              <w:left w:val="nil"/>
              <w:bottom w:val="single" w:sz="4" w:space="0" w:color="auto"/>
              <w:right w:val="single" w:sz="4" w:space="0" w:color="auto"/>
            </w:tcBorders>
            <w:noWrap/>
            <w:vAlign w:val="bottom"/>
            <w:hideMark/>
          </w:tcPr>
          <w:p w14:paraId="1C087AE6" w14:textId="77777777" w:rsidR="003516BC" w:rsidRPr="009A7CD7" w:rsidRDefault="003516BC" w:rsidP="00A56FA9">
            <w:pPr>
              <w:jc w:val="center"/>
              <w:rPr>
                <w:color w:val="000000"/>
                <w:sz w:val="22"/>
                <w:szCs w:val="22"/>
              </w:rPr>
            </w:pPr>
            <w:r w:rsidRPr="009A7CD7">
              <w:rPr>
                <w:color w:val="000000"/>
                <w:sz w:val="22"/>
                <w:szCs w:val="22"/>
              </w:rPr>
              <w:t>13.491.947</w:t>
            </w:r>
          </w:p>
        </w:tc>
        <w:tc>
          <w:tcPr>
            <w:tcW w:w="1417" w:type="dxa"/>
            <w:tcBorders>
              <w:top w:val="nil"/>
              <w:left w:val="nil"/>
              <w:bottom w:val="single" w:sz="4" w:space="0" w:color="auto"/>
              <w:right w:val="single" w:sz="4" w:space="0" w:color="auto"/>
            </w:tcBorders>
            <w:noWrap/>
            <w:vAlign w:val="bottom"/>
            <w:hideMark/>
          </w:tcPr>
          <w:p w14:paraId="0C5F81FB" w14:textId="77777777" w:rsidR="003516BC" w:rsidRPr="009A7CD7" w:rsidRDefault="003516BC" w:rsidP="00A56FA9">
            <w:pPr>
              <w:jc w:val="center"/>
              <w:rPr>
                <w:color w:val="000000"/>
                <w:sz w:val="22"/>
                <w:szCs w:val="22"/>
              </w:rPr>
            </w:pPr>
            <w:r w:rsidRPr="009A7CD7">
              <w:rPr>
                <w:color w:val="000000"/>
                <w:sz w:val="22"/>
                <w:szCs w:val="22"/>
              </w:rPr>
              <w:t>13.822.269</w:t>
            </w:r>
          </w:p>
        </w:tc>
        <w:tc>
          <w:tcPr>
            <w:tcW w:w="1418" w:type="dxa"/>
            <w:tcBorders>
              <w:top w:val="nil"/>
              <w:left w:val="nil"/>
              <w:bottom w:val="single" w:sz="4" w:space="0" w:color="auto"/>
              <w:right w:val="single" w:sz="4" w:space="0" w:color="auto"/>
            </w:tcBorders>
            <w:noWrap/>
            <w:vAlign w:val="bottom"/>
            <w:hideMark/>
          </w:tcPr>
          <w:p w14:paraId="470A250B" w14:textId="77777777" w:rsidR="003516BC" w:rsidRPr="009A7CD7" w:rsidRDefault="003516BC" w:rsidP="00A56FA9">
            <w:pPr>
              <w:jc w:val="center"/>
              <w:rPr>
                <w:color w:val="000000"/>
                <w:sz w:val="22"/>
                <w:szCs w:val="22"/>
              </w:rPr>
            </w:pPr>
            <w:r w:rsidRPr="009A7CD7">
              <w:rPr>
                <w:color w:val="000000"/>
                <w:sz w:val="22"/>
                <w:szCs w:val="22"/>
              </w:rPr>
              <w:t>17.699.631</w:t>
            </w:r>
          </w:p>
        </w:tc>
      </w:tr>
      <w:tr w:rsidR="003516BC" w:rsidRPr="009A7CD7" w14:paraId="6208E0BD" w14:textId="77777777" w:rsidTr="00692AE4">
        <w:trPr>
          <w:trHeight w:val="310"/>
        </w:trPr>
        <w:tc>
          <w:tcPr>
            <w:tcW w:w="1271" w:type="dxa"/>
            <w:tcBorders>
              <w:top w:val="nil"/>
              <w:left w:val="single" w:sz="4" w:space="0" w:color="auto"/>
              <w:bottom w:val="single" w:sz="4" w:space="0" w:color="auto"/>
              <w:right w:val="single" w:sz="4" w:space="0" w:color="auto"/>
            </w:tcBorders>
            <w:noWrap/>
            <w:vAlign w:val="bottom"/>
            <w:hideMark/>
          </w:tcPr>
          <w:p w14:paraId="74FD9A23" w14:textId="77777777" w:rsidR="003516BC" w:rsidRPr="009A7CD7" w:rsidRDefault="003516BC" w:rsidP="003516BC">
            <w:pPr>
              <w:rPr>
                <w:color w:val="000000"/>
                <w:sz w:val="22"/>
                <w:szCs w:val="22"/>
              </w:rPr>
            </w:pPr>
            <w:r w:rsidRPr="009A7CD7">
              <w:rPr>
                <w:color w:val="000000"/>
                <w:sz w:val="22"/>
                <w:szCs w:val="22"/>
              </w:rPr>
              <w:t>Basilicata</w:t>
            </w:r>
          </w:p>
        </w:tc>
        <w:tc>
          <w:tcPr>
            <w:tcW w:w="1418" w:type="dxa"/>
            <w:tcBorders>
              <w:top w:val="nil"/>
              <w:left w:val="nil"/>
              <w:bottom w:val="single" w:sz="4" w:space="0" w:color="auto"/>
              <w:right w:val="single" w:sz="4" w:space="0" w:color="auto"/>
            </w:tcBorders>
            <w:noWrap/>
            <w:vAlign w:val="center"/>
            <w:hideMark/>
          </w:tcPr>
          <w:p w14:paraId="400F20BC" w14:textId="77777777" w:rsidR="003516BC" w:rsidRPr="009A7CD7" w:rsidRDefault="003516BC" w:rsidP="003516BC">
            <w:pPr>
              <w:jc w:val="center"/>
              <w:rPr>
                <w:color w:val="000000"/>
                <w:sz w:val="22"/>
                <w:szCs w:val="22"/>
              </w:rPr>
            </w:pPr>
            <w:r w:rsidRPr="009A7CD7">
              <w:rPr>
                <w:color w:val="000000"/>
                <w:sz w:val="22"/>
                <w:szCs w:val="22"/>
              </w:rPr>
              <w:t>0,9147</w:t>
            </w:r>
          </w:p>
        </w:tc>
        <w:tc>
          <w:tcPr>
            <w:tcW w:w="2126" w:type="dxa"/>
            <w:tcBorders>
              <w:top w:val="nil"/>
              <w:left w:val="nil"/>
              <w:bottom w:val="single" w:sz="4" w:space="0" w:color="auto"/>
              <w:right w:val="single" w:sz="4" w:space="0" w:color="auto"/>
            </w:tcBorders>
            <w:noWrap/>
            <w:vAlign w:val="center"/>
            <w:hideMark/>
          </w:tcPr>
          <w:p w14:paraId="1F67950E" w14:textId="77777777" w:rsidR="003516BC" w:rsidRPr="009A7CD7" w:rsidRDefault="003516BC" w:rsidP="003516BC">
            <w:pPr>
              <w:jc w:val="center"/>
              <w:rPr>
                <w:color w:val="000000"/>
                <w:sz w:val="22"/>
                <w:szCs w:val="22"/>
              </w:rPr>
            </w:pPr>
            <w:r w:rsidRPr="009A7CD7">
              <w:rPr>
                <w:color w:val="000000"/>
                <w:sz w:val="22"/>
                <w:szCs w:val="22"/>
              </w:rPr>
              <w:t>1,0604</w:t>
            </w:r>
          </w:p>
        </w:tc>
        <w:tc>
          <w:tcPr>
            <w:tcW w:w="1417" w:type="dxa"/>
            <w:tcBorders>
              <w:top w:val="nil"/>
              <w:left w:val="nil"/>
              <w:bottom w:val="single" w:sz="4" w:space="0" w:color="auto"/>
              <w:right w:val="single" w:sz="4" w:space="0" w:color="auto"/>
            </w:tcBorders>
            <w:noWrap/>
            <w:vAlign w:val="center"/>
            <w:hideMark/>
          </w:tcPr>
          <w:p w14:paraId="63CDFBDF" w14:textId="77777777" w:rsidR="003516BC" w:rsidRPr="009A7CD7" w:rsidRDefault="003516BC" w:rsidP="003516BC">
            <w:pPr>
              <w:jc w:val="center"/>
              <w:rPr>
                <w:color w:val="000000"/>
                <w:sz w:val="22"/>
                <w:szCs w:val="22"/>
              </w:rPr>
            </w:pPr>
            <w:r w:rsidRPr="009A7CD7">
              <w:rPr>
                <w:color w:val="000000"/>
                <w:sz w:val="22"/>
                <w:szCs w:val="22"/>
              </w:rPr>
              <w:t>0,9244</w:t>
            </w:r>
          </w:p>
        </w:tc>
        <w:tc>
          <w:tcPr>
            <w:tcW w:w="1418" w:type="dxa"/>
            <w:tcBorders>
              <w:top w:val="nil"/>
              <w:left w:val="nil"/>
              <w:bottom w:val="single" w:sz="4" w:space="0" w:color="auto"/>
              <w:right w:val="single" w:sz="4" w:space="0" w:color="auto"/>
            </w:tcBorders>
            <w:noWrap/>
            <w:vAlign w:val="bottom"/>
            <w:hideMark/>
          </w:tcPr>
          <w:p w14:paraId="70448648" w14:textId="77777777" w:rsidR="003516BC" w:rsidRPr="009A7CD7" w:rsidRDefault="003516BC" w:rsidP="00A56FA9">
            <w:pPr>
              <w:jc w:val="center"/>
              <w:rPr>
                <w:color w:val="000000"/>
                <w:sz w:val="22"/>
                <w:szCs w:val="22"/>
              </w:rPr>
            </w:pPr>
            <w:r w:rsidRPr="009A7CD7">
              <w:rPr>
                <w:color w:val="000000"/>
                <w:sz w:val="22"/>
                <w:szCs w:val="22"/>
              </w:rPr>
              <w:t>5.629.022</w:t>
            </w:r>
          </w:p>
        </w:tc>
        <w:tc>
          <w:tcPr>
            <w:tcW w:w="1417" w:type="dxa"/>
            <w:tcBorders>
              <w:top w:val="nil"/>
              <w:left w:val="nil"/>
              <w:bottom w:val="single" w:sz="4" w:space="0" w:color="auto"/>
              <w:right w:val="single" w:sz="4" w:space="0" w:color="auto"/>
            </w:tcBorders>
            <w:noWrap/>
            <w:vAlign w:val="bottom"/>
            <w:hideMark/>
          </w:tcPr>
          <w:p w14:paraId="0FE0640E" w14:textId="77777777" w:rsidR="003516BC" w:rsidRPr="009A7CD7" w:rsidRDefault="003516BC" w:rsidP="00A56FA9">
            <w:pPr>
              <w:jc w:val="center"/>
              <w:rPr>
                <w:color w:val="000000"/>
                <w:sz w:val="22"/>
                <w:szCs w:val="22"/>
              </w:rPr>
            </w:pPr>
            <w:r w:rsidRPr="009A7CD7">
              <w:rPr>
                <w:color w:val="000000"/>
                <w:sz w:val="22"/>
                <w:szCs w:val="22"/>
              </w:rPr>
              <w:t>5.766.837</w:t>
            </w:r>
          </w:p>
        </w:tc>
        <w:tc>
          <w:tcPr>
            <w:tcW w:w="1418" w:type="dxa"/>
            <w:tcBorders>
              <w:top w:val="nil"/>
              <w:left w:val="nil"/>
              <w:bottom w:val="single" w:sz="4" w:space="0" w:color="auto"/>
              <w:right w:val="single" w:sz="4" w:space="0" w:color="auto"/>
            </w:tcBorders>
            <w:noWrap/>
            <w:vAlign w:val="bottom"/>
            <w:hideMark/>
          </w:tcPr>
          <w:p w14:paraId="2E6B3624" w14:textId="77777777" w:rsidR="003516BC" w:rsidRPr="009A7CD7" w:rsidRDefault="003516BC" w:rsidP="00A56FA9">
            <w:pPr>
              <w:jc w:val="center"/>
              <w:rPr>
                <w:color w:val="000000"/>
                <w:sz w:val="22"/>
                <w:szCs w:val="22"/>
              </w:rPr>
            </w:pPr>
            <w:r w:rsidRPr="009A7CD7">
              <w:rPr>
                <w:color w:val="000000"/>
                <w:sz w:val="22"/>
                <w:szCs w:val="22"/>
              </w:rPr>
              <w:t>7.384.524</w:t>
            </w:r>
          </w:p>
        </w:tc>
      </w:tr>
      <w:tr w:rsidR="003516BC" w:rsidRPr="009A7CD7" w14:paraId="33D16450" w14:textId="77777777" w:rsidTr="00692AE4">
        <w:trPr>
          <w:trHeight w:val="310"/>
        </w:trPr>
        <w:tc>
          <w:tcPr>
            <w:tcW w:w="1271" w:type="dxa"/>
            <w:tcBorders>
              <w:top w:val="nil"/>
              <w:left w:val="single" w:sz="4" w:space="0" w:color="auto"/>
              <w:bottom w:val="single" w:sz="4" w:space="0" w:color="auto"/>
              <w:right w:val="single" w:sz="4" w:space="0" w:color="auto"/>
            </w:tcBorders>
            <w:noWrap/>
            <w:vAlign w:val="bottom"/>
            <w:hideMark/>
          </w:tcPr>
          <w:p w14:paraId="09A28E73" w14:textId="77777777" w:rsidR="003516BC" w:rsidRPr="009A7CD7" w:rsidRDefault="003516BC" w:rsidP="003516BC">
            <w:pPr>
              <w:rPr>
                <w:color w:val="000000"/>
                <w:sz w:val="22"/>
                <w:szCs w:val="22"/>
              </w:rPr>
            </w:pPr>
            <w:r w:rsidRPr="009A7CD7">
              <w:rPr>
                <w:color w:val="000000"/>
                <w:sz w:val="22"/>
                <w:szCs w:val="22"/>
              </w:rPr>
              <w:t>Calabria</w:t>
            </w:r>
          </w:p>
        </w:tc>
        <w:tc>
          <w:tcPr>
            <w:tcW w:w="1418" w:type="dxa"/>
            <w:tcBorders>
              <w:top w:val="nil"/>
              <w:left w:val="nil"/>
              <w:bottom w:val="single" w:sz="4" w:space="0" w:color="auto"/>
              <w:right w:val="single" w:sz="4" w:space="0" w:color="auto"/>
            </w:tcBorders>
            <w:noWrap/>
            <w:vAlign w:val="center"/>
            <w:hideMark/>
          </w:tcPr>
          <w:p w14:paraId="3C3F98CF" w14:textId="77777777" w:rsidR="003516BC" w:rsidRPr="009A7CD7" w:rsidRDefault="003516BC" w:rsidP="003516BC">
            <w:pPr>
              <w:jc w:val="center"/>
              <w:rPr>
                <w:color w:val="000000"/>
                <w:sz w:val="22"/>
                <w:szCs w:val="22"/>
              </w:rPr>
            </w:pPr>
            <w:r w:rsidRPr="009A7CD7">
              <w:rPr>
                <w:color w:val="000000"/>
                <w:sz w:val="22"/>
                <w:szCs w:val="22"/>
              </w:rPr>
              <w:t>2,9329</w:t>
            </w:r>
          </w:p>
        </w:tc>
        <w:tc>
          <w:tcPr>
            <w:tcW w:w="2126" w:type="dxa"/>
            <w:tcBorders>
              <w:top w:val="nil"/>
              <w:left w:val="nil"/>
              <w:bottom w:val="single" w:sz="4" w:space="0" w:color="auto"/>
              <w:right w:val="single" w:sz="4" w:space="0" w:color="auto"/>
            </w:tcBorders>
            <w:noWrap/>
            <w:vAlign w:val="center"/>
            <w:hideMark/>
          </w:tcPr>
          <w:p w14:paraId="6ED61E87" w14:textId="77777777" w:rsidR="003516BC" w:rsidRPr="009A7CD7" w:rsidRDefault="003516BC" w:rsidP="003516BC">
            <w:pPr>
              <w:jc w:val="center"/>
              <w:rPr>
                <w:color w:val="000000"/>
                <w:sz w:val="22"/>
                <w:szCs w:val="22"/>
              </w:rPr>
            </w:pPr>
            <w:r w:rsidRPr="009A7CD7">
              <w:rPr>
                <w:color w:val="000000"/>
                <w:sz w:val="22"/>
                <w:szCs w:val="22"/>
              </w:rPr>
              <w:t>5,1450</w:t>
            </w:r>
          </w:p>
        </w:tc>
        <w:tc>
          <w:tcPr>
            <w:tcW w:w="1417" w:type="dxa"/>
            <w:tcBorders>
              <w:top w:val="nil"/>
              <w:left w:val="nil"/>
              <w:bottom w:val="single" w:sz="4" w:space="0" w:color="auto"/>
              <w:right w:val="single" w:sz="4" w:space="0" w:color="auto"/>
            </w:tcBorders>
            <w:noWrap/>
            <w:vAlign w:val="center"/>
            <w:hideMark/>
          </w:tcPr>
          <w:p w14:paraId="275E1F60" w14:textId="77777777" w:rsidR="003516BC" w:rsidRPr="009A7CD7" w:rsidRDefault="003516BC" w:rsidP="003516BC">
            <w:pPr>
              <w:jc w:val="center"/>
              <w:rPr>
                <w:color w:val="000000"/>
                <w:sz w:val="22"/>
                <w:szCs w:val="22"/>
              </w:rPr>
            </w:pPr>
            <w:r w:rsidRPr="009A7CD7">
              <w:rPr>
                <w:color w:val="000000"/>
                <w:sz w:val="22"/>
                <w:szCs w:val="22"/>
              </w:rPr>
              <w:t>3,2857</w:t>
            </w:r>
          </w:p>
        </w:tc>
        <w:tc>
          <w:tcPr>
            <w:tcW w:w="1418" w:type="dxa"/>
            <w:tcBorders>
              <w:top w:val="nil"/>
              <w:left w:val="nil"/>
              <w:bottom w:val="single" w:sz="4" w:space="0" w:color="auto"/>
              <w:right w:val="single" w:sz="4" w:space="0" w:color="auto"/>
            </w:tcBorders>
            <w:noWrap/>
            <w:vAlign w:val="bottom"/>
            <w:hideMark/>
          </w:tcPr>
          <w:p w14:paraId="60E662F1" w14:textId="77777777" w:rsidR="003516BC" w:rsidRPr="009A7CD7" w:rsidRDefault="003516BC" w:rsidP="00A56FA9">
            <w:pPr>
              <w:jc w:val="center"/>
              <w:rPr>
                <w:color w:val="000000"/>
                <w:sz w:val="22"/>
                <w:szCs w:val="22"/>
              </w:rPr>
            </w:pPr>
            <w:r w:rsidRPr="009A7CD7">
              <w:rPr>
                <w:color w:val="000000"/>
                <w:sz w:val="22"/>
                <w:szCs w:val="22"/>
              </w:rPr>
              <w:t>19.299.477</w:t>
            </w:r>
          </w:p>
        </w:tc>
        <w:tc>
          <w:tcPr>
            <w:tcW w:w="1417" w:type="dxa"/>
            <w:tcBorders>
              <w:top w:val="nil"/>
              <w:left w:val="nil"/>
              <w:bottom w:val="single" w:sz="4" w:space="0" w:color="auto"/>
              <w:right w:val="single" w:sz="4" w:space="0" w:color="auto"/>
            </w:tcBorders>
            <w:noWrap/>
            <w:vAlign w:val="bottom"/>
            <w:hideMark/>
          </w:tcPr>
          <w:p w14:paraId="016E92D1" w14:textId="77777777" w:rsidR="003516BC" w:rsidRPr="009A7CD7" w:rsidRDefault="003516BC" w:rsidP="00A56FA9">
            <w:pPr>
              <w:jc w:val="center"/>
              <w:rPr>
                <w:color w:val="000000"/>
                <w:sz w:val="22"/>
                <w:szCs w:val="22"/>
              </w:rPr>
            </w:pPr>
            <w:r w:rsidRPr="009A7CD7">
              <w:rPr>
                <w:color w:val="000000"/>
                <w:sz w:val="22"/>
                <w:szCs w:val="22"/>
              </w:rPr>
              <w:t>19.771.985</w:t>
            </w:r>
          </w:p>
        </w:tc>
        <w:tc>
          <w:tcPr>
            <w:tcW w:w="1418" w:type="dxa"/>
            <w:tcBorders>
              <w:top w:val="nil"/>
              <w:left w:val="nil"/>
              <w:bottom w:val="single" w:sz="4" w:space="0" w:color="auto"/>
              <w:right w:val="single" w:sz="4" w:space="0" w:color="auto"/>
            </w:tcBorders>
            <w:noWrap/>
            <w:vAlign w:val="bottom"/>
            <w:hideMark/>
          </w:tcPr>
          <w:p w14:paraId="0A03188C" w14:textId="77777777" w:rsidR="003516BC" w:rsidRPr="009A7CD7" w:rsidRDefault="003516BC" w:rsidP="00A56FA9">
            <w:pPr>
              <w:jc w:val="center"/>
              <w:rPr>
                <w:color w:val="000000"/>
                <w:sz w:val="22"/>
                <w:szCs w:val="22"/>
              </w:rPr>
            </w:pPr>
            <w:r w:rsidRPr="009A7CD7">
              <w:rPr>
                <w:color w:val="000000"/>
                <w:sz w:val="22"/>
                <w:szCs w:val="22"/>
              </w:rPr>
              <w:t>25.318.335</w:t>
            </w:r>
          </w:p>
        </w:tc>
      </w:tr>
      <w:tr w:rsidR="003516BC" w:rsidRPr="009A7CD7" w14:paraId="438C590D" w14:textId="77777777" w:rsidTr="00692AE4">
        <w:trPr>
          <w:trHeight w:val="310"/>
        </w:trPr>
        <w:tc>
          <w:tcPr>
            <w:tcW w:w="1271" w:type="dxa"/>
            <w:tcBorders>
              <w:top w:val="nil"/>
              <w:left w:val="single" w:sz="4" w:space="0" w:color="auto"/>
              <w:bottom w:val="single" w:sz="4" w:space="0" w:color="auto"/>
              <w:right w:val="single" w:sz="4" w:space="0" w:color="auto"/>
            </w:tcBorders>
            <w:noWrap/>
            <w:vAlign w:val="bottom"/>
            <w:hideMark/>
          </w:tcPr>
          <w:p w14:paraId="030231E9" w14:textId="77777777" w:rsidR="003516BC" w:rsidRPr="009A7CD7" w:rsidRDefault="003516BC" w:rsidP="003516BC">
            <w:pPr>
              <w:rPr>
                <w:color w:val="000000"/>
                <w:sz w:val="22"/>
                <w:szCs w:val="22"/>
              </w:rPr>
            </w:pPr>
            <w:r w:rsidRPr="009A7CD7">
              <w:rPr>
                <w:color w:val="000000"/>
                <w:sz w:val="22"/>
                <w:szCs w:val="22"/>
              </w:rPr>
              <w:t>Campania</w:t>
            </w:r>
          </w:p>
        </w:tc>
        <w:tc>
          <w:tcPr>
            <w:tcW w:w="1418" w:type="dxa"/>
            <w:tcBorders>
              <w:top w:val="nil"/>
              <w:left w:val="nil"/>
              <w:bottom w:val="single" w:sz="4" w:space="0" w:color="auto"/>
              <w:right w:val="single" w:sz="4" w:space="0" w:color="auto"/>
            </w:tcBorders>
            <w:noWrap/>
            <w:vAlign w:val="center"/>
            <w:hideMark/>
          </w:tcPr>
          <w:p w14:paraId="06417580" w14:textId="77777777" w:rsidR="003516BC" w:rsidRPr="009A7CD7" w:rsidRDefault="003516BC" w:rsidP="003516BC">
            <w:pPr>
              <w:jc w:val="center"/>
              <w:rPr>
                <w:color w:val="000000"/>
                <w:sz w:val="22"/>
                <w:szCs w:val="22"/>
              </w:rPr>
            </w:pPr>
            <w:r w:rsidRPr="009A7CD7">
              <w:rPr>
                <w:color w:val="000000"/>
                <w:sz w:val="22"/>
                <w:szCs w:val="22"/>
              </w:rPr>
              <w:t>7,5906</w:t>
            </w:r>
          </w:p>
        </w:tc>
        <w:tc>
          <w:tcPr>
            <w:tcW w:w="2126" w:type="dxa"/>
            <w:tcBorders>
              <w:top w:val="nil"/>
              <w:left w:val="nil"/>
              <w:bottom w:val="single" w:sz="4" w:space="0" w:color="auto"/>
              <w:right w:val="single" w:sz="4" w:space="0" w:color="auto"/>
            </w:tcBorders>
            <w:noWrap/>
            <w:vAlign w:val="center"/>
            <w:hideMark/>
          </w:tcPr>
          <w:p w14:paraId="18457407" w14:textId="77777777" w:rsidR="003516BC" w:rsidRPr="009A7CD7" w:rsidRDefault="003516BC" w:rsidP="003516BC">
            <w:pPr>
              <w:jc w:val="center"/>
              <w:rPr>
                <w:color w:val="000000"/>
                <w:sz w:val="22"/>
                <w:szCs w:val="22"/>
              </w:rPr>
            </w:pPr>
            <w:r w:rsidRPr="009A7CD7">
              <w:rPr>
                <w:color w:val="000000"/>
                <w:sz w:val="22"/>
                <w:szCs w:val="22"/>
              </w:rPr>
              <w:t>12,0650</w:t>
            </w:r>
          </w:p>
        </w:tc>
        <w:tc>
          <w:tcPr>
            <w:tcW w:w="1417" w:type="dxa"/>
            <w:tcBorders>
              <w:top w:val="nil"/>
              <w:left w:val="nil"/>
              <w:bottom w:val="single" w:sz="4" w:space="0" w:color="auto"/>
              <w:right w:val="single" w:sz="4" w:space="0" w:color="auto"/>
            </w:tcBorders>
            <w:noWrap/>
            <w:vAlign w:val="center"/>
            <w:hideMark/>
          </w:tcPr>
          <w:p w14:paraId="3B80EC11" w14:textId="77777777" w:rsidR="003516BC" w:rsidRPr="009A7CD7" w:rsidRDefault="003516BC" w:rsidP="003516BC">
            <w:pPr>
              <w:jc w:val="center"/>
              <w:rPr>
                <w:color w:val="000000"/>
                <w:sz w:val="22"/>
                <w:szCs w:val="22"/>
              </w:rPr>
            </w:pPr>
            <w:r w:rsidRPr="009A7CD7">
              <w:rPr>
                <w:color w:val="000000"/>
                <w:sz w:val="22"/>
                <w:szCs w:val="22"/>
              </w:rPr>
              <w:t>8,801</w:t>
            </w:r>
          </w:p>
        </w:tc>
        <w:tc>
          <w:tcPr>
            <w:tcW w:w="1418" w:type="dxa"/>
            <w:tcBorders>
              <w:top w:val="nil"/>
              <w:left w:val="nil"/>
              <w:bottom w:val="single" w:sz="4" w:space="0" w:color="auto"/>
              <w:right w:val="single" w:sz="4" w:space="0" w:color="auto"/>
            </w:tcBorders>
            <w:noWrap/>
            <w:vAlign w:val="bottom"/>
            <w:hideMark/>
          </w:tcPr>
          <w:p w14:paraId="5BED0B9C" w14:textId="77777777" w:rsidR="003516BC" w:rsidRPr="009A7CD7" w:rsidRDefault="003516BC" w:rsidP="00A56FA9">
            <w:pPr>
              <w:jc w:val="center"/>
              <w:rPr>
                <w:color w:val="000000"/>
                <w:sz w:val="22"/>
                <w:szCs w:val="22"/>
              </w:rPr>
            </w:pPr>
            <w:r w:rsidRPr="009A7CD7">
              <w:rPr>
                <w:color w:val="000000"/>
                <w:sz w:val="22"/>
                <w:szCs w:val="22"/>
              </w:rPr>
              <w:t>49.371.817</w:t>
            </w:r>
          </w:p>
        </w:tc>
        <w:tc>
          <w:tcPr>
            <w:tcW w:w="1417" w:type="dxa"/>
            <w:tcBorders>
              <w:top w:val="nil"/>
              <w:left w:val="nil"/>
              <w:bottom w:val="single" w:sz="4" w:space="0" w:color="auto"/>
              <w:right w:val="single" w:sz="4" w:space="0" w:color="auto"/>
            </w:tcBorders>
            <w:noWrap/>
            <w:vAlign w:val="bottom"/>
            <w:hideMark/>
          </w:tcPr>
          <w:p w14:paraId="2FE34BCB" w14:textId="77777777" w:rsidR="003516BC" w:rsidRPr="009A7CD7" w:rsidRDefault="003516BC" w:rsidP="00A56FA9">
            <w:pPr>
              <w:jc w:val="center"/>
              <w:rPr>
                <w:color w:val="000000"/>
                <w:sz w:val="22"/>
                <w:szCs w:val="22"/>
              </w:rPr>
            </w:pPr>
            <w:r w:rsidRPr="009A7CD7">
              <w:rPr>
                <w:color w:val="000000"/>
                <w:sz w:val="22"/>
                <w:szCs w:val="22"/>
              </w:rPr>
              <w:t>50.580.585</w:t>
            </w:r>
          </w:p>
        </w:tc>
        <w:tc>
          <w:tcPr>
            <w:tcW w:w="1418" w:type="dxa"/>
            <w:tcBorders>
              <w:top w:val="nil"/>
              <w:left w:val="nil"/>
              <w:bottom w:val="single" w:sz="4" w:space="0" w:color="auto"/>
              <w:right w:val="single" w:sz="4" w:space="0" w:color="auto"/>
            </w:tcBorders>
            <w:noWrap/>
            <w:vAlign w:val="bottom"/>
            <w:hideMark/>
          </w:tcPr>
          <w:p w14:paraId="3DDF88B5" w14:textId="77777777" w:rsidR="003516BC" w:rsidRPr="009A7CD7" w:rsidRDefault="003516BC" w:rsidP="00A56FA9">
            <w:pPr>
              <w:jc w:val="center"/>
              <w:rPr>
                <w:color w:val="000000"/>
                <w:sz w:val="22"/>
                <w:szCs w:val="22"/>
              </w:rPr>
            </w:pPr>
            <w:r w:rsidRPr="009A7CD7">
              <w:rPr>
                <w:color w:val="000000"/>
                <w:sz w:val="22"/>
                <w:szCs w:val="22"/>
              </w:rPr>
              <w:t>64.769.225</w:t>
            </w:r>
          </w:p>
        </w:tc>
      </w:tr>
      <w:tr w:rsidR="003516BC" w:rsidRPr="009A7CD7" w14:paraId="2724F361" w14:textId="77777777" w:rsidTr="00692AE4">
        <w:trPr>
          <w:trHeight w:val="310"/>
        </w:trPr>
        <w:tc>
          <w:tcPr>
            <w:tcW w:w="1271" w:type="dxa"/>
            <w:tcBorders>
              <w:top w:val="nil"/>
              <w:left w:val="single" w:sz="4" w:space="0" w:color="auto"/>
              <w:bottom w:val="single" w:sz="4" w:space="0" w:color="auto"/>
              <w:right w:val="single" w:sz="4" w:space="0" w:color="auto"/>
            </w:tcBorders>
            <w:noWrap/>
            <w:vAlign w:val="bottom"/>
            <w:hideMark/>
          </w:tcPr>
          <w:p w14:paraId="7A4124A1" w14:textId="77777777" w:rsidR="003516BC" w:rsidRPr="009A7CD7" w:rsidRDefault="003516BC" w:rsidP="003516BC">
            <w:pPr>
              <w:rPr>
                <w:color w:val="000000"/>
                <w:sz w:val="22"/>
                <w:szCs w:val="22"/>
              </w:rPr>
            </w:pPr>
            <w:r w:rsidRPr="009A7CD7">
              <w:rPr>
                <w:color w:val="000000"/>
                <w:sz w:val="22"/>
                <w:szCs w:val="22"/>
              </w:rPr>
              <w:t>Emilia-Romagna</w:t>
            </w:r>
          </w:p>
        </w:tc>
        <w:tc>
          <w:tcPr>
            <w:tcW w:w="1418" w:type="dxa"/>
            <w:tcBorders>
              <w:top w:val="nil"/>
              <w:left w:val="nil"/>
              <w:bottom w:val="single" w:sz="4" w:space="0" w:color="auto"/>
              <w:right w:val="single" w:sz="4" w:space="0" w:color="auto"/>
            </w:tcBorders>
            <w:noWrap/>
            <w:vAlign w:val="center"/>
            <w:hideMark/>
          </w:tcPr>
          <w:p w14:paraId="30273DAF" w14:textId="77777777" w:rsidR="003516BC" w:rsidRPr="009A7CD7" w:rsidRDefault="003516BC" w:rsidP="003516BC">
            <w:pPr>
              <w:jc w:val="center"/>
              <w:rPr>
                <w:color w:val="000000"/>
                <w:sz w:val="22"/>
                <w:szCs w:val="22"/>
              </w:rPr>
            </w:pPr>
            <w:r w:rsidRPr="009A7CD7">
              <w:rPr>
                <w:color w:val="000000"/>
                <w:sz w:val="22"/>
                <w:szCs w:val="22"/>
              </w:rPr>
              <w:t>8,0303</w:t>
            </w:r>
          </w:p>
        </w:tc>
        <w:tc>
          <w:tcPr>
            <w:tcW w:w="2126" w:type="dxa"/>
            <w:tcBorders>
              <w:top w:val="nil"/>
              <w:left w:val="nil"/>
              <w:bottom w:val="single" w:sz="4" w:space="0" w:color="auto"/>
              <w:right w:val="single" w:sz="4" w:space="0" w:color="auto"/>
            </w:tcBorders>
            <w:noWrap/>
            <w:vAlign w:val="center"/>
            <w:hideMark/>
          </w:tcPr>
          <w:p w14:paraId="6C762C87" w14:textId="77777777" w:rsidR="003516BC" w:rsidRPr="009A7CD7" w:rsidRDefault="003516BC" w:rsidP="003516BC">
            <w:pPr>
              <w:jc w:val="center"/>
              <w:rPr>
                <w:color w:val="000000"/>
                <w:sz w:val="22"/>
                <w:szCs w:val="22"/>
              </w:rPr>
            </w:pPr>
            <w:r w:rsidRPr="009A7CD7">
              <w:rPr>
                <w:color w:val="000000"/>
                <w:sz w:val="22"/>
                <w:szCs w:val="22"/>
              </w:rPr>
              <w:t>5,5815</w:t>
            </w:r>
          </w:p>
        </w:tc>
        <w:tc>
          <w:tcPr>
            <w:tcW w:w="1417" w:type="dxa"/>
            <w:tcBorders>
              <w:top w:val="nil"/>
              <w:left w:val="nil"/>
              <w:bottom w:val="single" w:sz="4" w:space="0" w:color="auto"/>
              <w:right w:val="single" w:sz="4" w:space="0" w:color="auto"/>
            </w:tcBorders>
            <w:noWrap/>
            <w:vAlign w:val="center"/>
            <w:hideMark/>
          </w:tcPr>
          <w:p w14:paraId="0C971B9A" w14:textId="77777777" w:rsidR="003516BC" w:rsidRPr="009A7CD7" w:rsidRDefault="003516BC" w:rsidP="003516BC">
            <w:pPr>
              <w:jc w:val="center"/>
              <w:rPr>
                <w:color w:val="000000"/>
                <w:sz w:val="22"/>
                <w:szCs w:val="22"/>
              </w:rPr>
            </w:pPr>
            <w:r w:rsidRPr="009A7CD7">
              <w:rPr>
                <w:color w:val="000000"/>
                <w:sz w:val="22"/>
                <w:szCs w:val="22"/>
              </w:rPr>
              <w:t>7,4208</w:t>
            </w:r>
          </w:p>
        </w:tc>
        <w:tc>
          <w:tcPr>
            <w:tcW w:w="1418" w:type="dxa"/>
            <w:tcBorders>
              <w:top w:val="nil"/>
              <w:left w:val="nil"/>
              <w:bottom w:val="single" w:sz="4" w:space="0" w:color="auto"/>
              <w:right w:val="single" w:sz="4" w:space="0" w:color="auto"/>
            </w:tcBorders>
            <w:noWrap/>
            <w:vAlign w:val="bottom"/>
            <w:hideMark/>
          </w:tcPr>
          <w:p w14:paraId="1C0A8D6F" w14:textId="77777777" w:rsidR="003516BC" w:rsidRPr="009A7CD7" w:rsidRDefault="003516BC" w:rsidP="00A56FA9">
            <w:pPr>
              <w:jc w:val="center"/>
              <w:rPr>
                <w:color w:val="000000"/>
                <w:sz w:val="22"/>
                <w:szCs w:val="22"/>
              </w:rPr>
            </w:pPr>
            <w:r w:rsidRPr="009A7CD7">
              <w:rPr>
                <w:color w:val="000000"/>
                <w:sz w:val="22"/>
                <w:szCs w:val="22"/>
              </w:rPr>
              <w:t>46.741.927</w:t>
            </w:r>
          </w:p>
        </w:tc>
        <w:tc>
          <w:tcPr>
            <w:tcW w:w="1417" w:type="dxa"/>
            <w:tcBorders>
              <w:top w:val="nil"/>
              <w:left w:val="nil"/>
              <w:bottom w:val="single" w:sz="4" w:space="0" w:color="auto"/>
              <w:right w:val="single" w:sz="4" w:space="0" w:color="auto"/>
            </w:tcBorders>
            <w:noWrap/>
            <w:vAlign w:val="bottom"/>
            <w:hideMark/>
          </w:tcPr>
          <w:p w14:paraId="5BE08E6D" w14:textId="77777777" w:rsidR="003516BC" w:rsidRPr="009A7CD7" w:rsidRDefault="003516BC" w:rsidP="00A56FA9">
            <w:pPr>
              <w:jc w:val="center"/>
              <w:rPr>
                <w:color w:val="000000"/>
                <w:sz w:val="22"/>
                <w:szCs w:val="22"/>
              </w:rPr>
            </w:pPr>
            <w:r w:rsidRPr="009A7CD7">
              <w:rPr>
                <w:color w:val="000000"/>
                <w:sz w:val="22"/>
                <w:szCs w:val="22"/>
              </w:rPr>
              <w:t>47.886.307</w:t>
            </w:r>
          </w:p>
        </w:tc>
        <w:tc>
          <w:tcPr>
            <w:tcW w:w="1418" w:type="dxa"/>
            <w:tcBorders>
              <w:top w:val="nil"/>
              <w:left w:val="nil"/>
              <w:bottom w:val="single" w:sz="4" w:space="0" w:color="auto"/>
              <w:right w:val="single" w:sz="4" w:space="0" w:color="auto"/>
            </w:tcBorders>
            <w:noWrap/>
            <w:vAlign w:val="bottom"/>
            <w:hideMark/>
          </w:tcPr>
          <w:p w14:paraId="50C4C0CA" w14:textId="77777777" w:rsidR="003516BC" w:rsidRPr="009A7CD7" w:rsidRDefault="003516BC" w:rsidP="00A56FA9">
            <w:pPr>
              <w:jc w:val="center"/>
              <w:rPr>
                <w:color w:val="000000"/>
                <w:sz w:val="22"/>
                <w:szCs w:val="22"/>
              </w:rPr>
            </w:pPr>
            <w:r w:rsidRPr="009A7CD7">
              <w:rPr>
                <w:color w:val="000000"/>
                <w:sz w:val="22"/>
                <w:szCs w:val="22"/>
              </w:rPr>
              <w:t>61.319.160</w:t>
            </w:r>
          </w:p>
        </w:tc>
      </w:tr>
      <w:tr w:rsidR="003516BC" w:rsidRPr="009A7CD7" w14:paraId="440776A1" w14:textId="77777777" w:rsidTr="00692AE4">
        <w:trPr>
          <w:trHeight w:val="310"/>
        </w:trPr>
        <w:tc>
          <w:tcPr>
            <w:tcW w:w="1271" w:type="dxa"/>
            <w:tcBorders>
              <w:top w:val="nil"/>
              <w:left w:val="single" w:sz="4" w:space="0" w:color="auto"/>
              <w:bottom w:val="single" w:sz="4" w:space="0" w:color="auto"/>
              <w:right w:val="single" w:sz="4" w:space="0" w:color="auto"/>
            </w:tcBorders>
            <w:noWrap/>
            <w:vAlign w:val="bottom"/>
            <w:hideMark/>
          </w:tcPr>
          <w:p w14:paraId="4F999C97" w14:textId="77777777" w:rsidR="003516BC" w:rsidRPr="009A7CD7" w:rsidRDefault="003516BC" w:rsidP="003516BC">
            <w:pPr>
              <w:rPr>
                <w:color w:val="000000"/>
                <w:sz w:val="22"/>
                <w:szCs w:val="22"/>
              </w:rPr>
            </w:pPr>
            <w:r w:rsidRPr="009A7CD7">
              <w:rPr>
                <w:color w:val="000000"/>
                <w:sz w:val="22"/>
                <w:szCs w:val="22"/>
              </w:rPr>
              <w:t>Friuli-Venezia Giulia</w:t>
            </w:r>
          </w:p>
        </w:tc>
        <w:tc>
          <w:tcPr>
            <w:tcW w:w="1418" w:type="dxa"/>
            <w:tcBorders>
              <w:top w:val="nil"/>
              <w:left w:val="nil"/>
              <w:bottom w:val="single" w:sz="4" w:space="0" w:color="auto"/>
              <w:right w:val="single" w:sz="4" w:space="0" w:color="auto"/>
            </w:tcBorders>
            <w:noWrap/>
            <w:vAlign w:val="center"/>
            <w:hideMark/>
          </w:tcPr>
          <w:p w14:paraId="53192A37" w14:textId="77777777" w:rsidR="003516BC" w:rsidRPr="009A7CD7" w:rsidRDefault="003516BC" w:rsidP="003516BC">
            <w:pPr>
              <w:jc w:val="center"/>
              <w:rPr>
                <w:color w:val="000000"/>
                <w:sz w:val="22"/>
                <w:szCs w:val="22"/>
              </w:rPr>
            </w:pPr>
            <w:r w:rsidRPr="009A7CD7">
              <w:rPr>
                <w:color w:val="000000"/>
                <w:sz w:val="22"/>
                <w:szCs w:val="22"/>
              </w:rPr>
              <w:t>2,4191</w:t>
            </w:r>
          </w:p>
        </w:tc>
        <w:tc>
          <w:tcPr>
            <w:tcW w:w="2126" w:type="dxa"/>
            <w:tcBorders>
              <w:top w:val="nil"/>
              <w:left w:val="nil"/>
              <w:bottom w:val="single" w:sz="4" w:space="0" w:color="auto"/>
              <w:right w:val="single" w:sz="4" w:space="0" w:color="auto"/>
            </w:tcBorders>
            <w:noWrap/>
            <w:vAlign w:val="center"/>
            <w:hideMark/>
          </w:tcPr>
          <w:p w14:paraId="07756643" w14:textId="77777777" w:rsidR="003516BC" w:rsidRPr="009A7CD7" w:rsidRDefault="003516BC" w:rsidP="003516BC">
            <w:pPr>
              <w:jc w:val="center"/>
              <w:rPr>
                <w:color w:val="000000"/>
                <w:sz w:val="22"/>
                <w:szCs w:val="22"/>
              </w:rPr>
            </w:pPr>
            <w:r w:rsidRPr="009A7CD7">
              <w:rPr>
                <w:color w:val="000000"/>
                <w:sz w:val="22"/>
                <w:szCs w:val="22"/>
              </w:rPr>
              <w:t>1,6683</w:t>
            </w:r>
          </w:p>
        </w:tc>
        <w:tc>
          <w:tcPr>
            <w:tcW w:w="1417" w:type="dxa"/>
            <w:tcBorders>
              <w:top w:val="nil"/>
              <w:left w:val="nil"/>
              <w:bottom w:val="single" w:sz="4" w:space="0" w:color="auto"/>
              <w:right w:val="single" w:sz="4" w:space="0" w:color="auto"/>
            </w:tcBorders>
            <w:noWrap/>
            <w:vAlign w:val="center"/>
            <w:hideMark/>
          </w:tcPr>
          <w:p w14:paraId="3DE0C97E" w14:textId="77777777" w:rsidR="003516BC" w:rsidRPr="009A7CD7" w:rsidRDefault="003516BC" w:rsidP="003516BC">
            <w:pPr>
              <w:jc w:val="center"/>
              <w:rPr>
                <w:color w:val="000000"/>
                <w:sz w:val="22"/>
                <w:szCs w:val="22"/>
              </w:rPr>
            </w:pPr>
            <w:r w:rsidRPr="009A7CD7">
              <w:rPr>
                <w:color w:val="000000"/>
                <w:sz w:val="22"/>
                <w:szCs w:val="22"/>
              </w:rPr>
              <w:t>2,0465</w:t>
            </w:r>
          </w:p>
        </w:tc>
        <w:tc>
          <w:tcPr>
            <w:tcW w:w="1418" w:type="dxa"/>
            <w:tcBorders>
              <w:top w:val="nil"/>
              <w:left w:val="nil"/>
              <w:bottom w:val="single" w:sz="4" w:space="0" w:color="auto"/>
              <w:right w:val="single" w:sz="4" w:space="0" w:color="auto"/>
            </w:tcBorders>
            <w:noWrap/>
            <w:vAlign w:val="bottom"/>
            <w:hideMark/>
          </w:tcPr>
          <w:p w14:paraId="739EC69B" w14:textId="77777777" w:rsidR="003516BC" w:rsidRPr="009A7CD7" w:rsidRDefault="003516BC" w:rsidP="00A56FA9">
            <w:pPr>
              <w:jc w:val="center"/>
              <w:rPr>
                <w:color w:val="000000"/>
                <w:sz w:val="22"/>
                <w:szCs w:val="22"/>
              </w:rPr>
            </w:pPr>
            <w:r w:rsidRPr="009A7CD7">
              <w:rPr>
                <w:color w:val="000000"/>
                <w:sz w:val="22"/>
                <w:szCs w:val="22"/>
              </w:rPr>
              <w:t>13.958.551</w:t>
            </w:r>
          </w:p>
        </w:tc>
        <w:tc>
          <w:tcPr>
            <w:tcW w:w="1417" w:type="dxa"/>
            <w:tcBorders>
              <w:top w:val="nil"/>
              <w:left w:val="nil"/>
              <w:bottom w:val="single" w:sz="4" w:space="0" w:color="auto"/>
              <w:right w:val="single" w:sz="4" w:space="0" w:color="auto"/>
            </w:tcBorders>
            <w:noWrap/>
            <w:vAlign w:val="bottom"/>
            <w:hideMark/>
          </w:tcPr>
          <w:p w14:paraId="2D360E5D" w14:textId="77777777" w:rsidR="003516BC" w:rsidRPr="009A7CD7" w:rsidRDefault="003516BC" w:rsidP="00A56FA9">
            <w:pPr>
              <w:jc w:val="center"/>
              <w:rPr>
                <w:color w:val="000000"/>
                <w:sz w:val="22"/>
                <w:szCs w:val="22"/>
              </w:rPr>
            </w:pPr>
            <w:r w:rsidRPr="009A7CD7">
              <w:rPr>
                <w:color w:val="000000"/>
                <w:sz w:val="22"/>
                <w:szCs w:val="22"/>
              </w:rPr>
              <w:t>14.300.297</w:t>
            </w:r>
          </w:p>
        </w:tc>
        <w:tc>
          <w:tcPr>
            <w:tcW w:w="1418" w:type="dxa"/>
            <w:tcBorders>
              <w:top w:val="nil"/>
              <w:left w:val="nil"/>
              <w:bottom w:val="single" w:sz="4" w:space="0" w:color="auto"/>
              <w:right w:val="single" w:sz="4" w:space="0" w:color="auto"/>
            </w:tcBorders>
            <w:noWrap/>
            <w:vAlign w:val="bottom"/>
            <w:hideMark/>
          </w:tcPr>
          <w:p w14:paraId="0DD1C88D" w14:textId="77777777" w:rsidR="003516BC" w:rsidRPr="009A7CD7" w:rsidRDefault="003516BC" w:rsidP="00A56FA9">
            <w:pPr>
              <w:jc w:val="center"/>
              <w:rPr>
                <w:color w:val="000000"/>
                <w:sz w:val="22"/>
                <w:szCs w:val="22"/>
              </w:rPr>
            </w:pPr>
            <w:r w:rsidRPr="009A7CD7">
              <w:rPr>
                <w:color w:val="000000"/>
                <w:sz w:val="22"/>
                <w:szCs w:val="22"/>
              </w:rPr>
              <w:t>18.311.753</w:t>
            </w:r>
          </w:p>
        </w:tc>
      </w:tr>
      <w:tr w:rsidR="003516BC" w:rsidRPr="009A7CD7" w14:paraId="606E5ABE" w14:textId="77777777" w:rsidTr="00692AE4">
        <w:trPr>
          <w:trHeight w:val="310"/>
        </w:trPr>
        <w:tc>
          <w:tcPr>
            <w:tcW w:w="1271" w:type="dxa"/>
            <w:tcBorders>
              <w:top w:val="nil"/>
              <w:left w:val="single" w:sz="4" w:space="0" w:color="auto"/>
              <w:bottom w:val="single" w:sz="4" w:space="0" w:color="auto"/>
              <w:right w:val="single" w:sz="4" w:space="0" w:color="auto"/>
            </w:tcBorders>
            <w:noWrap/>
            <w:vAlign w:val="bottom"/>
            <w:hideMark/>
          </w:tcPr>
          <w:p w14:paraId="6D5EDB2C" w14:textId="77777777" w:rsidR="003516BC" w:rsidRPr="009A7CD7" w:rsidRDefault="003516BC" w:rsidP="003516BC">
            <w:pPr>
              <w:rPr>
                <w:color w:val="000000"/>
                <w:sz w:val="22"/>
                <w:szCs w:val="22"/>
              </w:rPr>
            </w:pPr>
            <w:r w:rsidRPr="009A7CD7">
              <w:rPr>
                <w:color w:val="000000"/>
                <w:sz w:val="22"/>
                <w:szCs w:val="22"/>
              </w:rPr>
              <w:t>Lazio</w:t>
            </w:r>
          </w:p>
        </w:tc>
        <w:tc>
          <w:tcPr>
            <w:tcW w:w="1418" w:type="dxa"/>
            <w:tcBorders>
              <w:top w:val="nil"/>
              <w:left w:val="nil"/>
              <w:bottom w:val="single" w:sz="4" w:space="0" w:color="auto"/>
              <w:right w:val="single" w:sz="4" w:space="0" w:color="auto"/>
            </w:tcBorders>
            <w:noWrap/>
            <w:vAlign w:val="center"/>
            <w:hideMark/>
          </w:tcPr>
          <w:p w14:paraId="6B0B1B45" w14:textId="77777777" w:rsidR="003516BC" w:rsidRPr="009A7CD7" w:rsidRDefault="003516BC" w:rsidP="003516BC">
            <w:pPr>
              <w:jc w:val="center"/>
              <w:rPr>
                <w:color w:val="000000"/>
                <w:sz w:val="22"/>
                <w:szCs w:val="22"/>
              </w:rPr>
            </w:pPr>
            <w:r w:rsidRPr="009A7CD7">
              <w:rPr>
                <w:color w:val="000000"/>
                <w:sz w:val="22"/>
                <w:szCs w:val="22"/>
              </w:rPr>
              <w:t>9,4066</w:t>
            </w:r>
          </w:p>
        </w:tc>
        <w:tc>
          <w:tcPr>
            <w:tcW w:w="2126" w:type="dxa"/>
            <w:tcBorders>
              <w:top w:val="nil"/>
              <w:left w:val="nil"/>
              <w:bottom w:val="single" w:sz="4" w:space="0" w:color="auto"/>
              <w:right w:val="single" w:sz="4" w:space="0" w:color="auto"/>
            </w:tcBorders>
            <w:noWrap/>
            <w:vAlign w:val="center"/>
            <w:hideMark/>
          </w:tcPr>
          <w:p w14:paraId="242222AD" w14:textId="77777777" w:rsidR="003516BC" w:rsidRPr="009A7CD7" w:rsidRDefault="003516BC" w:rsidP="003516BC">
            <w:pPr>
              <w:jc w:val="center"/>
              <w:rPr>
                <w:color w:val="000000"/>
                <w:sz w:val="22"/>
                <w:szCs w:val="22"/>
              </w:rPr>
            </w:pPr>
            <w:r w:rsidRPr="009A7CD7">
              <w:rPr>
                <w:color w:val="000000"/>
                <w:sz w:val="22"/>
                <w:szCs w:val="22"/>
              </w:rPr>
              <w:t>11,5244</w:t>
            </w:r>
          </w:p>
        </w:tc>
        <w:tc>
          <w:tcPr>
            <w:tcW w:w="1417" w:type="dxa"/>
            <w:tcBorders>
              <w:top w:val="nil"/>
              <w:left w:val="nil"/>
              <w:bottom w:val="single" w:sz="4" w:space="0" w:color="auto"/>
              <w:right w:val="single" w:sz="4" w:space="0" w:color="auto"/>
            </w:tcBorders>
            <w:noWrap/>
            <w:vAlign w:val="center"/>
            <w:hideMark/>
          </w:tcPr>
          <w:p w14:paraId="4C98FD05" w14:textId="77777777" w:rsidR="003516BC" w:rsidRPr="009A7CD7" w:rsidRDefault="003516BC" w:rsidP="003516BC">
            <w:pPr>
              <w:jc w:val="center"/>
              <w:rPr>
                <w:color w:val="000000"/>
                <w:sz w:val="22"/>
                <w:szCs w:val="22"/>
              </w:rPr>
            </w:pPr>
            <w:r w:rsidRPr="009A7CD7">
              <w:rPr>
                <w:color w:val="000000"/>
                <w:sz w:val="22"/>
                <w:szCs w:val="22"/>
              </w:rPr>
              <w:t>12,6604</w:t>
            </w:r>
          </w:p>
        </w:tc>
        <w:tc>
          <w:tcPr>
            <w:tcW w:w="1418" w:type="dxa"/>
            <w:tcBorders>
              <w:top w:val="nil"/>
              <w:left w:val="nil"/>
              <w:bottom w:val="single" w:sz="4" w:space="0" w:color="auto"/>
              <w:right w:val="single" w:sz="4" w:space="0" w:color="auto"/>
            </w:tcBorders>
            <w:noWrap/>
            <w:vAlign w:val="bottom"/>
            <w:hideMark/>
          </w:tcPr>
          <w:p w14:paraId="242F8F2C" w14:textId="77777777" w:rsidR="003516BC" w:rsidRPr="009A7CD7" w:rsidRDefault="003516BC" w:rsidP="00A56FA9">
            <w:pPr>
              <w:jc w:val="center"/>
              <w:rPr>
                <w:color w:val="000000"/>
                <w:sz w:val="22"/>
                <w:szCs w:val="22"/>
              </w:rPr>
            </w:pPr>
            <w:r w:rsidRPr="009A7CD7">
              <w:rPr>
                <w:color w:val="000000"/>
                <w:sz w:val="22"/>
                <w:szCs w:val="22"/>
              </w:rPr>
              <w:t>60.171.183</w:t>
            </w:r>
          </w:p>
        </w:tc>
        <w:tc>
          <w:tcPr>
            <w:tcW w:w="1417" w:type="dxa"/>
            <w:tcBorders>
              <w:top w:val="nil"/>
              <w:left w:val="nil"/>
              <w:bottom w:val="single" w:sz="4" w:space="0" w:color="auto"/>
              <w:right w:val="single" w:sz="4" w:space="0" w:color="auto"/>
            </w:tcBorders>
            <w:noWrap/>
            <w:vAlign w:val="bottom"/>
            <w:hideMark/>
          </w:tcPr>
          <w:p w14:paraId="4F94431B" w14:textId="77777777" w:rsidR="003516BC" w:rsidRPr="009A7CD7" w:rsidRDefault="003516BC" w:rsidP="00A56FA9">
            <w:pPr>
              <w:jc w:val="center"/>
              <w:rPr>
                <w:color w:val="000000"/>
                <w:sz w:val="22"/>
                <w:szCs w:val="22"/>
              </w:rPr>
            </w:pPr>
            <w:r w:rsidRPr="009A7CD7">
              <w:rPr>
                <w:color w:val="000000"/>
                <w:sz w:val="22"/>
                <w:szCs w:val="22"/>
              </w:rPr>
              <w:t>61.644.351</w:t>
            </w:r>
          </w:p>
        </w:tc>
        <w:tc>
          <w:tcPr>
            <w:tcW w:w="1418" w:type="dxa"/>
            <w:tcBorders>
              <w:top w:val="nil"/>
              <w:left w:val="nil"/>
              <w:bottom w:val="single" w:sz="4" w:space="0" w:color="auto"/>
              <w:right w:val="single" w:sz="4" w:space="0" w:color="auto"/>
            </w:tcBorders>
            <w:noWrap/>
            <w:vAlign w:val="bottom"/>
            <w:hideMark/>
          </w:tcPr>
          <w:p w14:paraId="05DF3E86" w14:textId="77777777" w:rsidR="003516BC" w:rsidRPr="009A7CD7" w:rsidRDefault="003516BC" w:rsidP="00A56FA9">
            <w:pPr>
              <w:jc w:val="center"/>
              <w:rPr>
                <w:color w:val="000000"/>
                <w:sz w:val="22"/>
                <w:szCs w:val="22"/>
              </w:rPr>
            </w:pPr>
            <w:r w:rsidRPr="009A7CD7">
              <w:rPr>
                <w:color w:val="000000"/>
                <w:sz w:val="22"/>
                <w:szCs w:val="22"/>
              </w:rPr>
              <w:t>78.936.550</w:t>
            </w:r>
          </w:p>
        </w:tc>
      </w:tr>
      <w:tr w:rsidR="003516BC" w:rsidRPr="009A7CD7" w14:paraId="263D5990" w14:textId="77777777" w:rsidTr="00692AE4">
        <w:trPr>
          <w:trHeight w:val="310"/>
        </w:trPr>
        <w:tc>
          <w:tcPr>
            <w:tcW w:w="1271" w:type="dxa"/>
            <w:tcBorders>
              <w:top w:val="nil"/>
              <w:left w:val="single" w:sz="4" w:space="0" w:color="auto"/>
              <w:bottom w:val="single" w:sz="4" w:space="0" w:color="auto"/>
              <w:right w:val="single" w:sz="4" w:space="0" w:color="auto"/>
            </w:tcBorders>
            <w:noWrap/>
            <w:vAlign w:val="bottom"/>
            <w:hideMark/>
          </w:tcPr>
          <w:p w14:paraId="049C107B" w14:textId="77777777" w:rsidR="003516BC" w:rsidRPr="009A7CD7" w:rsidRDefault="003516BC" w:rsidP="003516BC">
            <w:pPr>
              <w:rPr>
                <w:color w:val="000000"/>
                <w:sz w:val="22"/>
                <w:szCs w:val="22"/>
              </w:rPr>
            </w:pPr>
            <w:r w:rsidRPr="009A7CD7">
              <w:rPr>
                <w:color w:val="000000"/>
                <w:sz w:val="22"/>
                <w:szCs w:val="22"/>
              </w:rPr>
              <w:t>Liguria</w:t>
            </w:r>
          </w:p>
        </w:tc>
        <w:tc>
          <w:tcPr>
            <w:tcW w:w="1418" w:type="dxa"/>
            <w:tcBorders>
              <w:top w:val="nil"/>
              <w:left w:val="nil"/>
              <w:bottom w:val="single" w:sz="4" w:space="0" w:color="auto"/>
              <w:right w:val="single" w:sz="4" w:space="0" w:color="auto"/>
            </w:tcBorders>
            <w:noWrap/>
            <w:vAlign w:val="center"/>
            <w:hideMark/>
          </w:tcPr>
          <w:p w14:paraId="7230EFE9" w14:textId="77777777" w:rsidR="003516BC" w:rsidRPr="009A7CD7" w:rsidRDefault="003516BC" w:rsidP="003516BC">
            <w:pPr>
              <w:jc w:val="center"/>
              <w:rPr>
                <w:color w:val="000000"/>
                <w:sz w:val="22"/>
                <w:szCs w:val="22"/>
              </w:rPr>
            </w:pPr>
            <w:r w:rsidRPr="009A7CD7">
              <w:rPr>
                <w:color w:val="000000"/>
                <w:sz w:val="22"/>
                <w:szCs w:val="22"/>
              </w:rPr>
              <w:t>3,3013</w:t>
            </w:r>
          </w:p>
        </w:tc>
        <w:tc>
          <w:tcPr>
            <w:tcW w:w="2126" w:type="dxa"/>
            <w:tcBorders>
              <w:top w:val="nil"/>
              <w:left w:val="nil"/>
              <w:bottom w:val="single" w:sz="4" w:space="0" w:color="auto"/>
              <w:right w:val="single" w:sz="4" w:space="0" w:color="auto"/>
            </w:tcBorders>
            <w:noWrap/>
            <w:vAlign w:val="center"/>
            <w:hideMark/>
          </w:tcPr>
          <w:p w14:paraId="5A70A472" w14:textId="77777777" w:rsidR="003516BC" w:rsidRPr="009A7CD7" w:rsidRDefault="003516BC" w:rsidP="003516BC">
            <w:pPr>
              <w:jc w:val="center"/>
              <w:rPr>
                <w:color w:val="000000"/>
                <w:sz w:val="22"/>
                <w:szCs w:val="22"/>
              </w:rPr>
            </w:pPr>
            <w:r w:rsidRPr="009A7CD7">
              <w:rPr>
                <w:color w:val="000000"/>
                <w:sz w:val="22"/>
                <w:szCs w:val="22"/>
              </w:rPr>
              <w:t>2,2317</w:t>
            </w:r>
          </w:p>
        </w:tc>
        <w:tc>
          <w:tcPr>
            <w:tcW w:w="1417" w:type="dxa"/>
            <w:tcBorders>
              <w:top w:val="nil"/>
              <w:left w:val="nil"/>
              <w:bottom w:val="single" w:sz="4" w:space="0" w:color="auto"/>
              <w:right w:val="single" w:sz="4" w:space="0" w:color="auto"/>
            </w:tcBorders>
            <w:noWrap/>
            <w:vAlign w:val="center"/>
            <w:hideMark/>
          </w:tcPr>
          <w:p w14:paraId="2E618B59" w14:textId="77777777" w:rsidR="003516BC" w:rsidRPr="009A7CD7" w:rsidRDefault="003516BC" w:rsidP="003516BC">
            <w:pPr>
              <w:jc w:val="center"/>
              <w:rPr>
                <w:color w:val="000000"/>
                <w:sz w:val="22"/>
                <w:szCs w:val="22"/>
              </w:rPr>
            </w:pPr>
            <w:r w:rsidRPr="009A7CD7">
              <w:rPr>
                <w:color w:val="000000"/>
                <w:sz w:val="22"/>
                <w:szCs w:val="22"/>
              </w:rPr>
              <w:t>2,4876</w:t>
            </w:r>
          </w:p>
        </w:tc>
        <w:tc>
          <w:tcPr>
            <w:tcW w:w="1418" w:type="dxa"/>
            <w:tcBorders>
              <w:top w:val="nil"/>
              <w:left w:val="nil"/>
              <w:bottom w:val="single" w:sz="4" w:space="0" w:color="auto"/>
              <w:right w:val="single" w:sz="4" w:space="0" w:color="auto"/>
            </w:tcBorders>
            <w:noWrap/>
            <w:vAlign w:val="bottom"/>
            <w:hideMark/>
          </w:tcPr>
          <w:p w14:paraId="6F2B9851" w14:textId="77777777" w:rsidR="003516BC" w:rsidRPr="009A7CD7" w:rsidRDefault="003516BC" w:rsidP="00A56FA9">
            <w:pPr>
              <w:jc w:val="center"/>
              <w:rPr>
                <w:color w:val="000000"/>
                <w:sz w:val="22"/>
                <w:szCs w:val="22"/>
              </w:rPr>
            </w:pPr>
            <w:r w:rsidRPr="009A7CD7">
              <w:rPr>
                <w:color w:val="000000"/>
                <w:sz w:val="22"/>
                <w:szCs w:val="22"/>
              </w:rPr>
              <w:t>18.837.048</w:t>
            </w:r>
          </w:p>
        </w:tc>
        <w:tc>
          <w:tcPr>
            <w:tcW w:w="1417" w:type="dxa"/>
            <w:tcBorders>
              <w:top w:val="nil"/>
              <w:left w:val="nil"/>
              <w:bottom w:val="single" w:sz="4" w:space="0" w:color="auto"/>
              <w:right w:val="single" w:sz="4" w:space="0" w:color="auto"/>
            </w:tcBorders>
            <w:noWrap/>
            <w:vAlign w:val="bottom"/>
            <w:hideMark/>
          </w:tcPr>
          <w:p w14:paraId="767F4419" w14:textId="77777777" w:rsidR="003516BC" w:rsidRPr="009A7CD7" w:rsidRDefault="003516BC" w:rsidP="00A56FA9">
            <w:pPr>
              <w:jc w:val="center"/>
              <w:rPr>
                <w:color w:val="000000"/>
                <w:sz w:val="22"/>
                <w:szCs w:val="22"/>
              </w:rPr>
            </w:pPr>
            <w:r w:rsidRPr="009A7CD7">
              <w:rPr>
                <w:color w:val="000000"/>
                <w:sz w:val="22"/>
                <w:szCs w:val="22"/>
              </w:rPr>
              <w:t>19.298.235</w:t>
            </w:r>
          </w:p>
        </w:tc>
        <w:tc>
          <w:tcPr>
            <w:tcW w:w="1418" w:type="dxa"/>
            <w:tcBorders>
              <w:top w:val="nil"/>
              <w:left w:val="nil"/>
              <w:bottom w:val="single" w:sz="4" w:space="0" w:color="auto"/>
              <w:right w:val="single" w:sz="4" w:space="0" w:color="auto"/>
            </w:tcBorders>
            <w:noWrap/>
            <w:vAlign w:val="bottom"/>
            <w:hideMark/>
          </w:tcPr>
          <w:p w14:paraId="0B6469D9" w14:textId="77777777" w:rsidR="003516BC" w:rsidRPr="009A7CD7" w:rsidRDefault="003516BC" w:rsidP="00A56FA9">
            <w:pPr>
              <w:jc w:val="center"/>
              <w:rPr>
                <w:color w:val="000000"/>
                <w:sz w:val="22"/>
                <w:szCs w:val="22"/>
              </w:rPr>
            </w:pPr>
            <w:r w:rsidRPr="009A7CD7">
              <w:rPr>
                <w:color w:val="000000"/>
                <w:sz w:val="22"/>
                <w:szCs w:val="22"/>
              </w:rPr>
              <w:t>24.711.690</w:t>
            </w:r>
          </w:p>
        </w:tc>
      </w:tr>
      <w:tr w:rsidR="003516BC" w:rsidRPr="009A7CD7" w14:paraId="7241F34F" w14:textId="77777777" w:rsidTr="00692AE4">
        <w:trPr>
          <w:trHeight w:val="310"/>
        </w:trPr>
        <w:tc>
          <w:tcPr>
            <w:tcW w:w="1271" w:type="dxa"/>
            <w:tcBorders>
              <w:top w:val="nil"/>
              <w:left w:val="single" w:sz="4" w:space="0" w:color="auto"/>
              <w:bottom w:val="single" w:sz="4" w:space="0" w:color="auto"/>
              <w:right w:val="single" w:sz="4" w:space="0" w:color="auto"/>
            </w:tcBorders>
            <w:noWrap/>
            <w:vAlign w:val="bottom"/>
            <w:hideMark/>
          </w:tcPr>
          <w:p w14:paraId="1AA1B7D7" w14:textId="77777777" w:rsidR="003516BC" w:rsidRPr="009A7CD7" w:rsidRDefault="003516BC" w:rsidP="003516BC">
            <w:pPr>
              <w:rPr>
                <w:color w:val="000000"/>
                <w:sz w:val="22"/>
                <w:szCs w:val="22"/>
              </w:rPr>
            </w:pPr>
            <w:r w:rsidRPr="009A7CD7">
              <w:rPr>
                <w:color w:val="000000"/>
                <w:sz w:val="22"/>
                <w:szCs w:val="22"/>
              </w:rPr>
              <w:t>Lombardia</w:t>
            </w:r>
          </w:p>
        </w:tc>
        <w:tc>
          <w:tcPr>
            <w:tcW w:w="1418" w:type="dxa"/>
            <w:tcBorders>
              <w:top w:val="nil"/>
              <w:left w:val="nil"/>
              <w:bottom w:val="single" w:sz="4" w:space="0" w:color="auto"/>
              <w:right w:val="single" w:sz="4" w:space="0" w:color="auto"/>
            </w:tcBorders>
            <w:noWrap/>
            <w:vAlign w:val="center"/>
            <w:hideMark/>
          </w:tcPr>
          <w:p w14:paraId="4916745E" w14:textId="77777777" w:rsidR="003516BC" w:rsidRPr="009A7CD7" w:rsidRDefault="003516BC" w:rsidP="003516BC">
            <w:pPr>
              <w:jc w:val="center"/>
              <w:rPr>
                <w:color w:val="000000"/>
                <w:sz w:val="22"/>
                <w:szCs w:val="22"/>
              </w:rPr>
            </w:pPr>
            <w:r w:rsidRPr="009A7CD7">
              <w:rPr>
                <w:color w:val="000000"/>
                <w:sz w:val="22"/>
                <w:szCs w:val="22"/>
              </w:rPr>
              <w:t>17,0473</w:t>
            </w:r>
          </w:p>
        </w:tc>
        <w:tc>
          <w:tcPr>
            <w:tcW w:w="2126" w:type="dxa"/>
            <w:tcBorders>
              <w:top w:val="nil"/>
              <w:left w:val="nil"/>
              <w:bottom w:val="single" w:sz="4" w:space="0" w:color="auto"/>
              <w:right w:val="single" w:sz="4" w:space="0" w:color="auto"/>
            </w:tcBorders>
            <w:noWrap/>
            <w:vAlign w:val="center"/>
            <w:hideMark/>
          </w:tcPr>
          <w:p w14:paraId="7D7B1C00" w14:textId="77777777" w:rsidR="003516BC" w:rsidRPr="009A7CD7" w:rsidRDefault="003516BC" w:rsidP="003516BC">
            <w:pPr>
              <w:jc w:val="center"/>
              <w:rPr>
                <w:color w:val="000000"/>
                <w:sz w:val="22"/>
                <w:szCs w:val="22"/>
              </w:rPr>
            </w:pPr>
            <w:r w:rsidRPr="009A7CD7">
              <w:rPr>
                <w:color w:val="000000"/>
                <w:sz w:val="22"/>
                <w:szCs w:val="22"/>
              </w:rPr>
              <w:t>13,5557</w:t>
            </w:r>
          </w:p>
        </w:tc>
        <w:tc>
          <w:tcPr>
            <w:tcW w:w="1417" w:type="dxa"/>
            <w:tcBorders>
              <w:top w:val="nil"/>
              <w:left w:val="nil"/>
              <w:bottom w:val="single" w:sz="4" w:space="0" w:color="auto"/>
              <w:right w:val="single" w:sz="4" w:space="0" w:color="auto"/>
            </w:tcBorders>
            <w:noWrap/>
            <w:vAlign w:val="center"/>
            <w:hideMark/>
          </w:tcPr>
          <w:p w14:paraId="76EE34BE" w14:textId="77777777" w:rsidR="003516BC" w:rsidRPr="009A7CD7" w:rsidRDefault="003516BC" w:rsidP="003516BC">
            <w:pPr>
              <w:jc w:val="center"/>
              <w:rPr>
                <w:color w:val="000000"/>
                <w:sz w:val="22"/>
                <w:szCs w:val="22"/>
              </w:rPr>
            </w:pPr>
            <w:r w:rsidRPr="009A7CD7">
              <w:rPr>
                <w:color w:val="000000"/>
                <w:sz w:val="22"/>
                <w:szCs w:val="22"/>
              </w:rPr>
              <w:t>16,5309</w:t>
            </w:r>
          </w:p>
        </w:tc>
        <w:tc>
          <w:tcPr>
            <w:tcW w:w="1418" w:type="dxa"/>
            <w:tcBorders>
              <w:top w:val="nil"/>
              <w:left w:val="nil"/>
              <w:bottom w:val="single" w:sz="4" w:space="0" w:color="auto"/>
              <w:right w:val="single" w:sz="4" w:space="0" w:color="auto"/>
            </w:tcBorders>
            <w:noWrap/>
            <w:vAlign w:val="bottom"/>
            <w:hideMark/>
          </w:tcPr>
          <w:p w14:paraId="2B6A49E5" w14:textId="77777777" w:rsidR="003516BC" w:rsidRPr="009A7CD7" w:rsidRDefault="003516BC" w:rsidP="00A56FA9">
            <w:pPr>
              <w:jc w:val="center"/>
              <w:rPr>
                <w:color w:val="000000"/>
                <w:sz w:val="22"/>
                <w:szCs w:val="22"/>
              </w:rPr>
            </w:pPr>
            <w:r w:rsidRPr="009A7CD7">
              <w:rPr>
                <w:color w:val="000000"/>
                <w:sz w:val="22"/>
                <w:szCs w:val="22"/>
              </w:rPr>
              <w:t>100.730.468</w:t>
            </w:r>
          </w:p>
        </w:tc>
        <w:tc>
          <w:tcPr>
            <w:tcW w:w="1417" w:type="dxa"/>
            <w:tcBorders>
              <w:top w:val="nil"/>
              <w:left w:val="nil"/>
              <w:bottom w:val="single" w:sz="4" w:space="0" w:color="auto"/>
              <w:right w:val="single" w:sz="4" w:space="0" w:color="auto"/>
            </w:tcBorders>
            <w:noWrap/>
            <w:vAlign w:val="bottom"/>
            <w:hideMark/>
          </w:tcPr>
          <w:p w14:paraId="27A1AD2F" w14:textId="77777777" w:rsidR="003516BC" w:rsidRPr="009A7CD7" w:rsidRDefault="003516BC" w:rsidP="00A56FA9">
            <w:pPr>
              <w:jc w:val="center"/>
              <w:rPr>
                <w:color w:val="000000"/>
                <w:sz w:val="22"/>
                <w:szCs w:val="22"/>
              </w:rPr>
            </w:pPr>
            <w:r w:rsidRPr="009A7CD7">
              <w:rPr>
                <w:color w:val="000000"/>
                <w:sz w:val="22"/>
                <w:szCs w:val="22"/>
              </w:rPr>
              <w:t>103.196.647</w:t>
            </w:r>
          </w:p>
        </w:tc>
        <w:tc>
          <w:tcPr>
            <w:tcW w:w="1418" w:type="dxa"/>
            <w:tcBorders>
              <w:top w:val="nil"/>
              <w:left w:val="nil"/>
              <w:bottom w:val="single" w:sz="4" w:space="0" w:color="auto"/>
              <w:right w:val="single" w:sz="4" w:space="0" w:color="auto"/>
            </w:tcBorders>
            <w:noWrap/>
            <w:vAlign w:val="bottom"/>
            <w:hideMark/>
          </w:tcPr>
          <w:p w14:paraId="007DB97F" w14:textId="77777777" w:rsidR="003516BC" w:rsidRPr="009A7CD7" w:rsidRDefault="003516BC" w:rsidP="00A56FA9">
            <w:pPr>
              <w:jc w:val="center"/>
              <w:rPr>
                <w:color w:val="000000"/>
                <w:sz w:val="22"/>
                <w:szCs w:val="22"/>
              </w:rPr>
            </w:pPr>
            <w:r w:rsidRPr="009A7CD7">
              <w:rPr>
                <w:color w:val="000000"/>
                <w:sz w:val="22"/>
                <w:szCs w:val="22"/>
              </w:rPr>
              <w:t>132.144.911</w:t>
            </w:r>
          </w:p>
        </w:tc>
      </w:tr>
      <w:tr w:rsidR="003516BC" w:rsidRPr="009A7CD7" w14:paraId="0DA877AD" w14:textId="77777777" w:rsidTr="00692AE4">
        <w:trPr>
          <w:trHeight w:val="310"/>
        </w:trPr>
        <w:tc>
          <w:tcPr>
            <w:tcW w:w="1271" w:type="dxa"/>
            <w:tcBorders>
              <w:top w:val="nil"/>
              <w:left w:val="single" w:sz="4" w:space="0" w:color="auto"/>
              <w:bottom w:val="single" w:sz="4" w:space="0" w:color="auto"/>
              <w:right w:val="single" w:sz="4" w:space="0" w:color="auto"/>
            </w:tcBorders>
            <w:noWrap/>
            <w:vAlign w:val="bottom"/>
            <w:hideMark/>
          </w:tcPr>
          <w:p w14:paraId="6720040D" w14:textId="77777777" w:rsidR="003516BC" w:rsidRPr="009A7CD7" w:rsidRDefault="003516BC" w:rsidP="003516BC">
            <w:pPr>
              <w:rPr>
                <w:color w:val="000000"/>
                <w:sz w:val="22"/>
                <w:szCs w:val="22"/>
              </w:rPr>
            </w:pPr>
            <w:r w:rsidRPr="009A7CD7">
              <w:rPr>
                <w:color w:val="000000"/>
                <w:sz w:val="22"/>
                <w:szCs w:val="22"/>
              </w:rPr>
              <w:t>Marche</w:t>
            </w:r>
          </w:p>
        </w:tc>
        <w:tc>
          <w:tcPr>
            <w:tcW w:w="1418" w:type="dxa"/>
            <w:tcBorders>
              <w:top w:val="nil"/>
              <w:left w:val="nil"/>
              <w:bottom w:val="single" w:sz="4" w:space="0" w:color="auto"/>
              <w:right w:val="single" w:sz="4" w:space="0" w:color="auto"/>
            </w:tcBorders>
            <w:noWrap/>
            <w:vAlign w:val="center"/>
            <w:hideMark/>
          </w:tcPr>
          <w:p w14:paraId="524850BF" w14:textId="77777777" w:rsidR="003516BC" w:rsidRPr="009A7CD7" w:rsidRDefault="003516BC" w:rsidP="003516BC">
            <w:pPr>
              <w:jc w:val="center"/>
              <w:rPr>
                <w:color w:val="000000"/>
                <w:sz w:val="22"/>
                <w:szCs w:val="22"/>
              </w:rPr>
            </w:pPr>
            <w:r w:rsidRPr="009A7CD7">
              <w:rPr>
                <w:color w:val="000000"/>
                <w:sz w:val="22"/>
                <w:szCs w:val="22"/>
              </w:rPr>
              <w:t>2,8112</w:t>
            </w:r>
          </w:p>
        </w:tc>
        <w:tc>
          <w:tcPr>
            <w:tcW w:w="2126" w:type="dxa"/>
            <w:tcBorders>
              <w:top w:val="nil"/>
              <w:left w:val="nil"/>
              <w:bottom w:val="single" w:sz="4" w:space="0" w:color="auto"/>
              <w:right w:val="single" w:sz="4" w:space="0" w:color="auto"/>
            </w:tcBorders>
            <w:noWrap/>
            <w:vAlign w:val="center"/>
            <w:hideMark/>
          </w:tcPr>
          <w:p w14:paraId="3B4E8A0D" w14:textId="77777777" w:rsidR="003516BC" w:rsidRPr="009A7CD7" w:rsidRDefault="003516BC" w:rsidP="003516BC">
            <w:pPr>
              <w:jc w:val="center"/>
              <w:rPr>
                <w:color w:val="000000"/>
                <w:sz w:val="22"/>
                <w:szCs w:val="22"/>
              </w:rPr>
            </w:pPr>
            <w:r w:rsidRPr="009A7CD7">
              <w:rPr>
                <w:color w:val="000000"/>
                <w:sz w:val="22"/>
                <w:szCs w:val="22"/>
              </w:rPr>
              <w:t>2,7447</w:t>
            </w:r>
          </w:p>
        </w:tc>
        <w:tc>
          <w:tcPr>
            <w:tcW w:w="1417" w:type="dxa"/>
            <w:tcBorders>
              <w:top w:val="nil"/>
              <w:left w:val="nil"/>
              <w:bottom w:val="single" w:sz="4" w:space="0" w:color="auto"/>
              <w:right w:val="single" w:sz="4" w:space="0" w:color="auto"/>
            </w:tcBorders>
            <w:noWrap/>
            <w:vAlign w:val="center"/>
            <w:hideMark/>
          </w:tcPr>
          <w:p w14:paraId="4F12E652" w14:textId="77777777" w:rsidR="003516BC" w:rsidRPr="009A7CD7" w:rsidRDefault="003516BC" w:rsidP="003516BC">
            <w:pPr>
              <w:jc w:val="center"/>
              <w:rPr>
                <w:color w:val="000000"/>
                <w:sz w:val="22"/>
                <w:szCs w:val="22"/>
              </w:rPr>
            </w:pPr>
            <w:r w:rsidRPr="009A7CD7">
              <w:rPr>
                <w:color w:val="000000"/>
                <w:sz w:val="22"/>
                <w:szCs w:val="22"/>
              </w:rPr>
              <w:t>2,6305</w:t>
            </w:r>
          </w:p>
        </w:tc>
        <w:tc>
          <w:tcPr>
            <w:tcW w:w="1418" w:type="dxa"/>
            <w:tcBorders>
              <w:top w:val="nil"/>
              <w:left w:val="nil"/>
              <w:bottom w:val="single" w:sz="4" w:space="0" w:color="auto"/>
              <w:right w:val="single" w:sz="4" w:space="0" w:color="auto"/>
            </w:tcBorders>
            <w:noWrap/>
            <w:vAlign w:val="bottom"/>
            <w:hideMark/>
          </w:tcPr>
          <w:p w14:paraId="231AAA36" w14:textId="77777777" w:rsidR="003516BC" w:rsidRPr="009A7CD7" w:rsidRDefault="003516BC" w:rsidP="00A56FA9">
            <w:pPr>
              <w:jc w:val="center"/>
              <w:rPr>
                <w:color w:val="000000"/>
                <w:sz w:val="22"/>
                <w:szCs w:val="22"/>
              </w:rPr>
            </w:pPr>
            <w:r w:rsidRPr="009A7CD7">
              <w:rPr>
                <w:color w:val="000000"/>
                <w:sz w:val="22"/>
                <w:szCs w:val="22"/>
              </w:rPr>
              <w:t>16.861.408</w:t>
            </w:r>
          </w:p>
        </w:tc>
        <w:tc>
          <w:tcPr>
            <w:tcW w:w="1417" w:type="dxa"/>
            <w:tcBorders>
              <w:top w:val="nil"/>
              <w:left w:val="nil"/>
              <w:bottom w:val="single" w:sz="4" w:space="0" w:color="auto"/>
              <w:right w:val="single" w:sz="4" w:space="0" w:color="auto"/>
            </w:tcBorders>
            <w:noWrap/>
            <w:vAlign w:val="bottom"/>
            <w:hideMark/>
          </w:tcPr>
          <w:p w14:paraId="5100ABF6" w14:textId="77777777" w:rsidR="003516BC" w:rsidRPr="009A7CD7" w:rsidRDefault="003516BC" w:rsidP="00A56FA9">
            <w:pPr>
              <w:jc w:val="center"/>
              <w:rPr>
                <w:color w:val="000000"/>
                <w:sz w:val="22"/>
                <w:szCs w:val="22"/>
              </w:rPr>
            </w:pPr>
            <w:r w:rsidRPr="009A7CD7">
              <w:rPr>
                <w:color w:val="000000"/>
                <w:sz w:val="22"/>
                <w:szCs w:val="22"/>
              </w:rPr>
              <w:t>17.274.226</w:t>
            </w:r>
          </w:p>
        </w:tc>
        <w:tc>
          <w:tcPr>
            <w:tcW w:w="1418" w:type="dxa"/>
            <w:tcBorders>
              <w:top w:val="nil"/>
              <w:left w:val="nil"/>
              <w:bottom w:val="single" w:sz="4" w:space="0" w:color="auto"/>
              <w:right w:val="single" w:sz="4" w:space="0" w:color="auto"/>
            </w:tcBorders>
            <w:noWrap/>
            <w:vAlign w:val="bottom"/>
            <w:hideMark/>
          </w:tcPr>
          <w:p w14:paraId="21D1EE1C" w14:textId="77777777" w:rsidR="003516BC" w:rsidRPr="009A7CD7" w:rsidRDefault="003516BC" w:rsidP="00A56FA9">
            <w:pPr>
              <w:jc w:val="center"/>
              <w:rPr>
                <w:color w:val="000000"/>
                <w:sz w:val="22"/>
                <w:szCs w:val="22"/>
              </w:rPr>
            </w:pPr>
            <w:r w:rsidRPr="009A7CD7">
              <w:rPr>
                <w:color w:val="000000"/>
                <w:sz w:val="22"/>
                <w:szCs w:val="22"/>
              </w:rPr>
              <w:t>22.119.914</w:t>
            </w:r>
          </w:p>
        </w:tc>
      </w:tr>
      <w:tr w:rsidR="003516BC" w:rsidRPr="009A7CD7" w14:paraId="20AE3037" w14:textId="77777777" w:rsidTr="00692AE4">
        <w:trPr>
          <w:trHeight w:val="310"/>
        </w:trPr>
        <w:tc>
          <w:tcPr>
            <w:tcW w:w="1271" w:type="dxa"/>
            <w:tcBorders>
              <w:top w:val="nil"/>
              <w:left w:val="single" w:sz="4" w:space="0" w:color="auto"/>
              <w:bottom w:val="single" w:sz="4" w:space="0" w:color="auto"/>
              <w:right w:val="single" w:sz="4" w:space="0" w:color="auto"/>
            </w:tcBorders>
            <w:noWrap/>
            <w:vAlign w:val="bottom"/>
            <w:hideMark/>
          </w:tcPr>
          <w:p w14:paraId="1303D09D" w14:textId="77777777" w:rsidR="003516BC" w:rsidRPr="009A7CD7" w:rsidRDefault="003516BC" w:rsidP="003516BC">
            <w:pPr>
              <w:rPr>
                <w:color w:val="000000"/>
                <w:sz w:val="22"/>
                <w:szCs w:val="22"/>
              </w:rPr>
            </w:pPr>
            <w:r w:rsidRPr="009A7CD7">
              <w:rPr>
                <w:color w:val="000000"/>
                <w:sz w:val="22"/>
                <w:szCs w:val="22"/>
              </w:rPr>
              <w:t>Molise</w:t>
            </w:r>
          </w:p>
        </w:tc>
        <w:tc>
          <w:tcPr>
            <w:tcW w:w="1418" w:type="dxa"/>
            <w:tcBorders>
              <w:top w:val="nil"/>
              <w:left w:val="nil"/>
              <w:bottom w:val="single" w:sz="4" w:space="0" w:color="auto"/>
              <w:right w:val="single" w:sz="4" w:space="0" w:color="auto"/>
            </w:tcBorders>
            <w:noWrap/>
            <w:vAlign w:val="center"/>
            <w:hideMark/>
          </w:tcPr>
          <w:p w14:paraId="1466C352" w14:textId="77777777" w:rsidR="003516BC" w:rsidRPr="009A7CD7" w:rsidRDefault="003516BC" w:rsidP="003516BC">
            <w:pPr>
              <w:jc w:val="center"/>
              <w:rPr>
                <w:color w:val="000000"/>
                <w:sz w:val="22"/>
                <w:szCs w:val="22"/>
              </w:rPr>
            </w:pPr>
            <w:r w:rsidRPr="009A7CD7">
              <w:rPr>
                <w:color w:val="000000"/>
                <w:sz w:val="22"/>
                <w:szCs w:val="22"/>
              </w:rPr>
              <w:t>0,5351</w:t>
            </w:r>
          </w:p>
        </w:tc>
        <w:tc>
          <w:tcPr>
            <w:tcW w:w="2126" w:type="dxa"/>
            <w:tcBorders>
              <w:top w:val="nil"/>
              <w:left w:val="nil"/>
              <w:bottom w:val="single" w:sz="4" w:space="0" w:color="auto"/>
              <w:right w:val="single" w:sz="4" w:space="0" w:color="auto"/>
            </w:tcBorders>
            <w:noWrap/>
            <w:vAlign w:val="center"/>
            <w:hideMark/>
          </w:tcPr>
          <w:p w14:paraId="455FE1AD" w14:textId="77777777" w:rsidR="003516BC" w:rsidRPr="009A7CD7" w:rsidRDefault="003516BC" w:rsidP="003516BC">
            <w:pPr>
              <w:jc w:val="center"/>
              <w:rPr>
                <w:color w:val="000000"/>
                <w:sz w:val="22"/>
                <w:szCs w:val="22"/>
              </w:rPr>
            </w:pPr>
            <w:r w:rsidRPr="009A7CD7">
              <w:rPr>
                <w:color w:val="000000"/>
                <w:sz w:val="22"/>
                <w:szCs w:val="22"/>
              </w:rPr>
              <w:t>0,5424</w:t>
            </w:r>
          </w:p>
        </w:tc>
        <w:tc>
          <w:tcPr>
            <w:tcW w:w="1417" w:type="dxa"/>
            <w:tcBorders>
              <w:top w:val="nil"/>
              <w:left w:val="nil"/>
              <w:bottom w:val="single" w:sz="4" w:space="0" w:color="auto"/>
              <w:right w:val="single" w:sz="4" w:space="0" w:color="auto"/>
            </w:tcBorders>
            <w:noWrap/>
            <w:vAlign w:val="center"/>
            <w:hideMark/>
          </w:tcPr>
          <w:p w14:paraId="0A618F3B" w14:textId="77777777" w:rsidR="003516BC" w:rsidRPr="009A7CD7" w:rsidRDefault="003516BC" w:rsidP="003516BC">
            <w:pPr>
              <w:jc w:val="center"/>
              <w:rPr>
                <w:color w:val="000000"/>
                <w:sz w:val="22"/>
                <w:szCs w:val="22"/>
              </w:rPr>
            </w:pPr>
            <w:r w:rsidRPr="009A7CD7">
              <w:rPr>
                <w:color w:val="000000"/>
                <w:sz w:val="22"/>
                <w:szCs w:val="22"/>
              </w:rPr>
              <w:t>0,4606</w:t>
            </w:r>
          </w:p>
        </w:tc>
        <w:tc>
          <w:tcPr>
            <w:tcW w:w="1418" w:type="dxa"/>
            <w:tcBorders>
              <w:top w:val="nil"/>
              <w:left w:val="nil"/>
              <w:bottom w:val="single" w:sz="4" w:space="0" w:color="auto"/>
              <w:right w:val="single" w:sz="4" w:space="0" w:color="auto"/>
            </w:tcBorders>
            <w:noWrap/>
            <w:vAlign w:val="bottom"/>
            <w:hideMark/>
          </w:tcPr>
          <w:p w14:paraId="5BC074B1" w14:textId="77777777" w:rsidR="003516BC" w:rsidRPr="009A7CD7" w:rsidRDefault="003516BC" w:rsidP="00A56FA9">
            <w:pPr>
              <w:jc w:val="center"/>
              <w:rPr>
                <w:color w:val="000000"/>
                <w:sz w:val="22"/>
                <w:szCs w:val="22"/>
              </w:rPr>
            </w:pPr>
            <w:r w:rsidRPr="009A7CD7">
              <w:rPr>
                <w:color w:val="000000"/>
                <w:sz w:val="22"/>
                <w:szCs w:val="22"/>
              </w:rPr>
              <w:t>3.197.307</w:t>
            </w:r>
          </w:p>
        </w:tc>
        <w:tc>
          <w:tcPr>
            <w:tcW w:w="1417" w:type="dxa"/>
            <w:tcBorders>
              <w:top w:val="nil"/>
              <w:left w:val="nil"/>
              <w:bottom w:val="single" w:sz="4" w:space="0" w:color="auto"/>
              <w:right w:val="single" w:sz="4" w:space="0" w:color="auto"/>
            </w:tcBorders>
            <w:noWrap/>
            <w:vAlign w:val="bottom"/>
            <w:hideMark/>
          </w:tcPr>
          <w:p w14:paraId="0149953A" w14:textId="77777777" w:rsidR="003516BC" w:rsidRPr="009A7CD7" w:rsidRDefault="003516BC" w:rsidP="00A56FA9">
            <w:pPr>
              <w:jc w:val="center"/>
              <w:rPr>
                <w:color w:val="000000"/>
                <w:sz w:val="22"/>
                <w:szCs w:val="22"/>
              </w:rPr>
            </w:pPr>
            <w:r w:rsidRPr="009A7CD7">
              <w:rPr>
                <w:color w:val="000000"/>
                <w:sz w:val="22"/>
                <w:szCs w:val="22"/>
              </w:rPr>
              <w:t>3.275.586</w:t>
            </w:r>
          </w:p>
        </w:tc>
        <w:tc>
          <w:tcPr>
            <w:tcW w:w="1418" w:type="dxa"/>
            <w:tcBorders>
              <w:top w:val="nil"/>
              <w:left w:val="nil"/>
              <w:bottom w:val="single" w:sz="4" w:space="0" w:color="auto"/>
              <w:right w:val="single" w:sz="4" w:space="0" w:color="auto"/>
            </w:tcBorders>
            <w:noWrap/>
            <w:vAlign w:val="bottom"/>
            <w:hideMark/>
          </w:tcPr>
          <w:p w14:paraId="7EEE8D43" w14:textId="77777777" w:rsidR="003516BC" w:rsidRPr="009A7CD7" w:rsidRDefault="003516BC" w:rsidP="00A56FA9">
            <w:pPr>
              <w:jc w:val="center"/>
              <w:rPr>
                <w:color w:val="000000"/>
                <w:sz w:val="22"/>
                <w:szCs w:val="22"/>
              </w:rPr>
            </w:pPr>
            <w:r w:rsidRPr="009A7CD7">
              <w:rPr>
                <w:color w:val="000000"/>
                <w:sz w:val="22"/>
                <w:szCs w:val="22"/>
              </w:rPr>
              <w:t>4.194.439</w:t>
            </w:r>
          </w:p>
        </w:tc>
      </w:tr>
      <w:tr w:rsidR="003516BC" w:rsidRPr="009A7CD7" w14:paraId="28180BFA" w14:textId="77777777" w:rsidTr="00692AE4">
        <w:trPr>
          <w:trHeight w:val="310"/>
        </w:trPr>
        <w:tc>
          <w:tcPr>
            <w:tcW w:w="1271" w:type="dxa"/>
            <w:tcBorders>
              <w:top w:val="nil"/>
              <w:left w:val="single" w:sz="4" w:space="0" w:color="auto"/>
              <w:bottom w:val="single" w:sz="4" w:space="0" w:color="auto"/>
              <w:right w:val="single" w:sz="4" w:space="0" w:color="auto"/>
            </w:tcBorders>
            <w:noWrap/>
            <w:vAlign w:val="bottom"/>
            <w:hideMark/>
          </w:tcPr>
          <w:p w14:paraId="557C6A26" w14:textId="77777777" w:rsidR="003516BC" w:rsidRPr="009A7CD7" w:rsidRDefault="003516BC" w:rsidP="003516BC">
            <w:pPr>
              <w:rPr>
                <w:color w:val="000000"/>
                <w:sz w:val="22"/>
                <w:szCs w:val="22"/>
              </w:rPr>
            </w:pPr>
            <w:r w:rsidRPr="009A7CD7">
              <w:rPr>
                <w:color w:val="000000"/>
                <w:sz w:val="22"/>
                <w:szCs w:val="22"/>
              </w:rPr>
              <w:t>Piemonte</w:t>
            </w:r>
          </w:p>
        </w:tc>
        <w:tc>
          <w:tcPr>
            <w:tcW w:w="1418" w:type="dxa"/>
            <w:tcBorders>
              <w:top w:val="nil"/>
              <w:left w:val="nil"/>
              <w:bottom w:val="single" w:sz="4" w:space="0" w:color="auto"/>
              <w:right w:val="single" w:sz="4" w:space="0" w:color="auto"/>
            </w:tcBorders>
            <w:noWrap/>
            <w:vAlign w:val="center"/>
            <w:hideMark/>
          </w:tcPr>
          <w:p w14:paraId="2101082D" w14:textId="77777777" w:rsidR="003516BC" w:rsidRPr="009A7CD7" w:rsidRDefault="003516BC" w:rsidP="003516BC">
            <w:pPr>
              <w:jc w:val="center"/>
              <w:rPr>
                <w:color w:val="000000"/>
                <w:sz w:val="22"/>
                <w:szCs w:val="22"/>
              </w:rPr>
            </w:pPr>
            <w:r w:rsidRPr="009A7CD7">
              <w:rPr>
                <w:color w:val="000000"/>
                <w:sz w:val="22"/>
                <w:szCs w:val="22"/>
              </w:rPr>
              <w:t>8,2414</w:t>
            </w:r>
          </w:p>
        </w:tc>
        <w:tc>
          <w:tcPr>
            <w:tcW w:w="2126" w:type="dxa"/>
            <w:tcBorders>
              <w:top w:val="nil"/>
              <w:left w:val="nil"/>
              <w:bottom w:val="single" w:sz="4" w:space="0" w:color="auto"/>
              <w:right w:val="single" w:sz="4" w:space="0" w:color="auto"/>
            </w:tcBorders>
            <w:noWrap/>
            <w:vAlign w:val="center"/>
            <w:hideMark/>
          </w:tcPr>
          <w:p w14:paraId="3FA36E0E" w14:textId="77777777" w:rsidR="003516BC" w:rsidRPr="009A7CD7" w:rsidRDefault="003516BC" w:rsidP="003516BC">
            <w:pPr>
              <w:jc w:val="center"/>
              <w:rPr>
                <w:color w:val="000000"/>
                <w:sz w:val="22"/>
                <w:szCs w:val="22"/>
              </w:rPr>
            </w:pPr>
            <w:r w:rsidRPr="009A7CD7">
              <w:rPr>
                <w:color w:val="000000"/>
                <w:sz w:val="22"/>
                <w:szCs w:val="22"/>
              </w:rPr>
              <w:t>5,1753</w:t>
            </w:r>
          </w:p>
        </w:tc>
        <w:tc>
          <w:tcPr>
            <w:tcW w:w="1417" w:type="dxa"/>
            <w:tcBorders>
              <w:top w:val="nil"/>
              <w:left w:val="nil"/>
              <w:bottom w:val="single" w:sz="4" w:space="0" w:color="auto"/>
              <w:right w:val="single" w:sz="4" w:space="0" w:color="auto"/>
            </w:tcBorders>
            <w:noWrap/>
            <w:vAlign w:val="center"/>
            <w:hideMark/>
          </w:tcPr>
          <w:p w14:paraId="7BC1E267" w14:textId="77777777" w:rsidR="003516BC" w:rsidRPr="009A7CD7" w:rsidRDefault="003516BC" w:rsidP="003516BC">
            <w:pPr>
              <w:jc w:val="center"/>
              <w:rPr>
                <w:color w:val="000000"/>
                <w:sz w:val="22"/>
                <w:szCs w:val="22"/>
              </w:rPr>
            </w:pPr>
            <w:r w:rsidRPr="009A7CD7">
              <w:rPr>
                <w:color w:val="000000"/>
                <w:sz w:val="22"/>
                <w:szCs w:val="22"/>
              </w:rPr>
              <w:t>6,2354</w:t>
            </w:r>
          </w:p>
        </w:tc>
        <w:tc>
          <w:tcPr>
            <w:tcW w:w="1418" w:type="dxa"/>
            <w:tcBorders>
              <w:top w:val="nil"/>
              <w:left w:val="nil"/>
              <w:bottom w:val="single" w:sz="4" w:space="0" w:color="auto"/>
              <w:right w:val="single" w:sz="4" w:space="0" w:color="auto"/>
            </w:tcBorders>
            <w:noWrap/>
            <w:vAlign w:val="bottom"/>
            <w:hideMark/>
          </w:tcPr>
          <w:p w14:paraId="58178905" w14:textId="77777777" w:rsidR="003516BC" w:rsidRPr="009A7CD7" w:rsidRDefault="003516BC" w:rsidP="00A56FA9">
            <w:pPr>
              <w:jc w:val="center"/>
              <w:rPr>
                <w:color w:val="000000"/>
                <w:sz w:val="22"/>
                <w:szCs w:val="22"/>
              </w:rPr>
            </w:pPr>
            <w:r w:rsidRPr="009A7CD7">
              <w:rPr>
                <w:color w:val="000000"/>
                <w:sz w:val="22"/>
                <w:szCs w:val="22"/>
              </w:rPr>
              <w:t>46.800.744</w:t>
            </w:r>
          </w:p>
        </w:tc>
        <w:tc>
          <w:tcPr>
            <w:tcW w:w="1417" w:type="dxa"/>
            <w:tcBorders>
              <w:top w:val="nil"/>
              <w:left w:val="nil"/>
              <w:bottom w:val="single" w:sz="4" w:space="0" w:color="auto"/>
              <w:right w:val="single" w:sz="4" w:space="0" w:color="auto"/>
            </w:tcBorders>
            <w:noWrap/>
            <w:vAlign w:val="bottom"/>
            <w:hideMark/>
          </w:tcPr>
          <w:p w14:paraId="19F06B8C" w14:textId="77777777" w:rsidR="003516BC" w:rsidRPr="009A7CD7" w:rsidRDefault="003516BC" w:rsidP="00A56FA9">
            <w:pPr>
              <w:jc w:val="center"/>
              <w:rPr>
                <w:color w:val="000000"/>
                <w:sz w:val="22"/>
                <w:szCs w:val="22"/>
              </w:rPr>
            </w:pPr>
            <w:r w:rsidRPr="009A7CD7">
              <w:rPr>
                <w:color w:val="000000"/>
                <w:sz w:val="22"/>
                <w:szCs w:val="22"/>
              </w:rPr>
              <w:t>47.946.564</w:t>
            </w:r>
          </w:p>
        </w:tc>
        <w:tc>
          <w:tcPr>
            <w:tcW w:w="1418" w:type="dxa"/>
            <w:tcBorders>
              <w:top w:val="nil"/>
              <w:left w:val="nil"/>
              <w:bottom w:val="single" w:sz="4" w:space="0" w:color="auto"/>
              <w:right w:val="single" w:sz="4" w:space="0" w:color="auto"/>
            </w:tcBorders>
            <w:noWrap/>
            <w:vAlign w:val="bottom"/>
            <w:hideMark/>
          </w:tcPr>
          <w:p w14:paraId="375A8E76" w14:textId="77777777" w:rsidR="003516BC" w:rsidRPr="009A7CD7" w:rsidRDefault="003516BC" w:rsidP="00A56FA9">
            <w:pPr>
              <w:jc w:val="center"/>
              <w:rPr>
                <w:color w:val="000000"/>
                <w:sz w:val="22"/>
                <w:szCs w:val="22"/>
              </w:rPr>
            </w:pPr>
            <w:r w:rsidRPr="009A7CD7">
              <w:rPr>
                <w:color w:val="000000"/>
                <w:sz w:val="22"/>
                <w:szCs w:val="22"/>
              </w:rPr>
              <w:t>61.396.320</w:t>
            </w:r>
          </w:p>
        </w:tc>
      </w:tr>
      <w:tr w:rsidR="003516BC" w:rsidRPr="009A7CD7" w14:paraId="4C5362CC" w14:textId="77777777" w:rsidTr="00692AE4">
        <w:trPr>
          <w:trHeight w:val="310"/>
        </w:trPr>
        <w:tc>
          <w:tcPr>
            <w:tcW w:w="1271" w:type="dxa"/>
            <w:tcBorders>
              <w:top w:val="nil"/>
              <w:left w:val="single" w:sz="4" w:space="0" w:color="auto"/>
              <w:bottom w:val="single" w:sz="4" w:space="0" w:color="auto"/>
              <w:right w:val="single" w:sz="4" w:space="0" w:color="auto"/>
            </w:tcBorders>
            <w:noWrap/>
            <w:vAlign w:val="bottom"/>
            <w:hideMark/>
          </w:tcPr>
          <w:p w14:paraId="3D9037C2" w14:textId="77777777" w:rsidR="003516BC" w:rsidRPr="009A7CD7" w:rsidRDefault="003516BC" w:rsidP="003516BC">
            <w:pPr>
              <w:rPr>
                <w:color w:val="000000"/>
                <w:sz w:val="22"/>
                <w:szCs w:val="22"/>
              </w:rPr>
            </w:pPr>
            <w:r w:rsidRPr="009A7CD7">
              <w:rPr>
                <w:color w:val="000000"/>
                <w:sz w:val="22"/>
                <w:szCs w:val="22"/>
              </w:rPr>
              <w:t>Puglia</w:t>
            </w:r>
          </w:p>
        </w:tc>
        <w:tc>
          <w:tcPr>
            <w:tcW w:w="1418" w:type="dxa"/>
            <w:tcBorders>
              <w:top w:val="nil"/>
              <w:left w:val="nil"/>
              <w:bottom w:val="single" w:sz="4" w:space="0" w:color="auto"/>
              <w:right w:val="single" w:sz="4" w:space="0" w:color="auto"/>
            </w:tcBorders>
            <w:noWrap/>
            <w:vAlign w:val="center"/>
            <w:hideMark/>
          </w:tcPr>
          <w:p w14:paraId="60B7E152" w14:textId="77777777" w:rsidR="003516BC" w:rsidRPr="009A7CD7" w:rsidRDefault="003516BC" w:rsidP="003516BC">
            <w:pPr>
              <w:jc w:val="center"/>
              <w:rPr>
                <w:color w:val="000000"/>
                <w:sz w:val="22"/>
                <w:szCs w:val="22"/>
              </w:rPr>
            </w:pPr>
            <w:r w:rsidRPr="009A7CD7">
              <w:rPr>
                <w:color w:val="000000"/>
                <w:sz w:val="22"/>
                <w:szCs w:val="22"/>
              </w:rPr>
              <w:t>6,5305</w:t>
            </w:r>
          </w:p>
        </w:tc>
        <w:tc>
          <w:tcPr>
            <w:tcW w:w="2126" w:type="dxa"/>
            <w:tcBorders>
              <w:top w:val="nil"/>
              <w:left w:val="nil"/>
              <w:bottom w:val="single" w:sz="4" w:space="0" w:color="auto"/>
              <w:right w:val="single" w:sz="4" w:space="0" w:color="auto"/>
            </w:tcBorders>
            <w:noWrap/>
            <w:vAlign w:val="center"/>
            <w:hideMark/>
          </w:tcPr>
          <w:p w14:paraId="094BEA73" w14:textId="77777777" w:rsidR="003516BC" w:rsidRPr="009A7CD7" w:rsidRDefault="003516BC" w:rsidP="003516BC">
            <w:pPr>
              <w:jc w:val="center"/>
              <w:rPr>
                <w:color w:val="000000"/>
                <w:sz w:val="22"/>
                <w:szCs w:val="22"/>
              </w:rPr>
            </w:pPr>
            <w:r w:rsidRPr="009A7CD7">
              <w:rPr>
                <w:color w:val="000000"/>
                <w:sz w:val="22"/>
                <w:szCs w:val="22"/>
              </w:rPr>
              <w:t>9,9432</w:t>
            </w:r>
          </w:p>
        </w:tc>
        <w:tc>
          <w:tcPr>
            <w:tcW w:w="1417" w:type="dxa"/>
            <w:tcBorders>
              <w:top w:val="nil"/>
              <w:left w:val="nil"/>
              <w:bottom w:val="single" w:sz="4" w:space="0" w:color="auto"/>
              <w:right w:val="single" w:sz="4" w:space="0" w:color="auto"/>
            </w:tcBorders>
            <w:noWrap/>
            <w:vAlign w:val="center"/>
            <w:hideMark/>
          </w:tcPr>
          <w:p w14:paraId="406DE138" w14:textId="77777777" w:rsidR="003516BC" w:rsidRPr="009A7CD7" w:rsidRDefault="003516BC" w:rsidP="003516BC">
            <w:pPr>
              <w:jc w:val="center"/>
              <w:rPr>
                <w:color w:val="000000"/>
                <w:sz w:val="22"/>
                <w:szCs w:val="22"/>
              </w:rPr>
            </w:pPr>
            <w:r w:rsidRPr="009A7CD7">
              <w:rPr>
                <w:color w:val="000000"/>
                <w:sz w:val="22"/>
                <w:szCs w:val="22"/>
              </w:rPr>
              <w:t>7,5959</w:t>
            </w:r>
          </w:p>
        </w:tc>
        <w:tc>
          <w:tcPr>
            <w:tcW w:w="1418" w:type="dxa"/>
            <w:tcBorders>
              <w:top w:val="nil"/>
              <w:left w:val="nil"/>
              <w:bottom w:val="single" w:sz="4" w:space="0" w:color="auto"/>
              <w:right w:val="single" w:sz="4" w:space="0" w:color="auto"/>
            </w:tcBorders>
            <w:noWrap/>
            <w:vAlign w:val="bottom"/>
            <w:hideMark/>
          </w:tcPr>
          <w:p w14:paraId="5265F7F6" w14:textId="77777777" w:rsidR="003516BC" w:rsidRPr="009A7CD7" w:rsidRDefault="003516BC" w:rsidP="00A56FA9">
            <w:pPr>
              <w:jc w:val="center"/>
              <w:rPr>
                <w:color w:val="000000"/>
                <w:sz w:val="22"/>
                <w:szCs w:val="22"/>
              </w:rPr>
            </w:pPr>
            <w:r w:rsidRPr="009A7CD7">
              <w:rPr>
                <w:color w:val="000000"/>
                <w:sz w:val="22"/>
                <w:szCs w:val="22"/>
              </w:rPr>
              <w:t>42.226.801</w:t>
            </w:r>
          </w:p>
        </w:tc>
        <w:tc>
          <w:tcPr>
            <w:tcW w:w="1417" w:type="dxa"/>
            <w:tcBorders>
              <w:top w:val="nil"/>
              <w:left w:val="nil"/>
              <w:bottom w:val="single" w:sz="4" w:space="0" w:color="auto"/>
              <w:right w:val="single" w:sz="4" w:space="0" w:color="auto"/>
            </w:tcBorders>
            <w:noWrap/>
            <w:vAlign w:val="bottom"/>
            <w:hideMark/>
          </w:tcPr>
          <w:p w14:paraId="2CE6714F" w14:textId="77777777" w:rsidR="003516BC" w:rsidRPr="009A7CD7" w:rsidRDefault="003516BC" w:rsidP="00A56FA9">
            <w:pPr>
              <w:jc w:val="center"/>
              <w:rPr>
                <w:color w:val="000000"/>
                <w:sz w:val="22"/>
                <w:szCs w:val="22"/>
              </w:rPr>
            </w:pPr>
            <w:r w:rsidRPr="009A7CD7">
              <w:rPr>
                <w:color w:val="000000"/>
                <w:sz w:val="22"/>
                <w:szCs w:val="22"/>
              </w:rPr>
              <w:t>43.260.637</w:t>
            </w:r>
          </w:p>
        </w:tc>
        <w:tc>
          <w:tcPr>
            <w:tcW w:w="1418" w:type="dxa"/>
            <w:tcBorders>
              <w:top w:val="nil"/>
              <w:left w:val="nil"/>
              <w:bottom w:val="single" w:sz="4" w:space="0" w:color="auto"/>
              <w:right w:val="single" w:sz="4" w:space="0" w:color="auto"/>
            </w:tcBorders>
            <w:noWrap/>
            <w:vAlign w:val="bottom"/>
            <w:hideMark/>
          </w:tcPr>
          <w:p w14:paraId="1F95AE7B" w14:textId="77777777" w:rsidR="003516BC" w:rsidRPr="009A7CD7" w:rsidRDefault="003516BC" w:rsidP="00A56FA9">
            <w:pPr>
              <w:jc w:val="center"/>
              <w:rPr>
                <w:color w:val="000000"/>
                <w:sz w:val="22"/>
                <w:szCs w:val="22"/>
              </w:rPr>
            </w:pPr>
            <w:r w:rsidRPr="009A7CD7">
              <w:rPr>
                <w:color w:val="000000"/>
                <w:sz w:val="22"/>
                <w:szCs w:val="22"/>
              </w:rPr>
              <w:t>55.395.918</w:t>
            </w:r>
          </w:p>
        </w:tc>
      </w:tr>
      <w:tr w:rsidR="003516BC" w:rsidRPr="009A7CD7" w14:paraId="61A04580" w14:textId="77777777" w:rsidTr="00692AE4">
        <w:trPr>
          <w:trHeight w:val="310"/>
        </w:trPr>
        <w:tc>
          <w:tcPr>
            <w:tcW w:w="1271" w:type="dxa"/>
            <w:tcBorders>
              <w:top w:val="nil"/>
              <w:left w:val="single" w:sz="4" w:space="0" w:color="auto"/>
              <w:bottom w:val="single" w:sz="4" w:space="0" w:color="auto"/>
              <w:right w:val="single" w:sz="4" w:space="0" w:color="auto"/>
            </w:tcBorders>
            <w:noWrap/>
            <w:vAlign w:val="bottom"/>
            <w:hideMark/>
          </w:tcPr>
          <w:p w14:paraId="36021C34" w14:textId="77777777" w:rsidR="003516BC" w:rsidRPr="009A7CD7" w:rsidRDefault="003516BC" w:rsidP="003516BC">
            <w:pPr>
              <w:rPr>
                <w:color w:val="000000"/>
                <w:sz w:val="22"/>
                <w:szCs w:val="22"/>
              </w:rPr>
            </w:pPr>
            <w:r w:rsidRPr="009A7CD7">
              <w:rPr>
                <w:color w:val="000000"/>
                <w:sz w:val="22"/>
                <w:szCs w:val="22"/>
              </w:rPr>
              <w:t>Sardegna</w:t>
            </w:r>
          </w:p>
        </w:tc>
        <w:tc>
          <w:tcPr>
            <w:tcW w:w="1418" w:type="dxa"/>
            <w:tcBorders>
              <w:top w:val="nil"/>
              <w:left w:val="nil"/>
              <w:bottom w:val="single" w:sz="4" w:space="0" w:color="auto"/>
              <w:right w:val="single" w:sz="4" w:space="0" w:color="auto"/>
            </w:tcBorders>
            <w:noWrap/>
            <w:vAlign w:val="center"/>
            <w:hideMark/>
          </w:tcPr>
          <w:p w14:paraId="0A00C68B" w14:textId="77777777" w:rsidR="003516BC" w:rsidRPr="009A7CD7" w:rsidRDefault="003516BC" w:rsidP="003516BC">
            <w:pPr>
              <w:jc w:val="center"/>
              <w:rPr>
                <w:color w:val="000000"/>
                <w:sz w:val="22"/>
                <w:szCs w:val="22"/>
              </w:rPr>
            </w:pPr>
            <w:r w:rsidRPr="009A7CD7">
              <w:rPr>
                <w:color w:val="000000"/>
                <w:sz w:val="22"/>
                <w:szCs w:val="22"/>
              </w:rPr>
              <w:t>2,8795</w:t>
            </w:r>
          </w:p>
        </w:tc>
        <w:tc>
          <w:tcPr>
            <w:tcW w:w="2126" w:type="dxa"/>
            <w:tcBorders>
              <w:top w:val="nil"/>
              <w:left w:val="nil"/>
              <w:bottom w:val="single" w:sz="4" w:space="0" w:color="auto"/>
              <w:right w:val="single" w:sz="4" w:space="0" w:color="auto"/>
            </w:tcBorders>
            <w:noWrap/>
            <w:vAlign w:val="center"/>
            <w:hideMark/>
          </w:tcPr>
          <w:p w14:paraId="5ACD7931" w14:textId="77777777" w:rsidR="003516BC" w:rsidRPr="009A7CD7" w:rsidRDefault="003516BC" w:rsidP="003516BC">
            <w:pPr>
              <w:jc w:val="center"/>
              <w:rPr>
                <w:color w:val="000000"/>
                <w:sz w:val="22"/>
                <w:szCs w:val="22"/>
              </w:rPr>
            </w:pPr>
            <w:r w:rsidRPr="009A7CD7">
              <w:rPr>
                <w:color w:val="000000"/>
                <w:sz w:val="22"/>
                <w:szCs w:val="22"/>
              </w:rPr>
              <w:t>3,8044</w:t>
            </w:r>
          </w:p>
        </w:tc>
        <w:tc>
          <w:tcPr>
            <w:tcW w:w="1417" w:type="dxa"/>
            <w:tcBorders>
              <w:top w:val="nil"/>
              <w:left w:val="nil"/>
              <w:bottom w:val="single" w:sz="4" w:space="0" w:color="auto"/>
              <w:right w:val="single" w:sz="4" w:space="0" w:color="auto"/>
            </w:tcBorders>
            <w:noWrap/>
            <w:vAlign w:val="center"/>
            <w:hideMark/>
          </w:tcPr>
          <w:p w14:paraId="17AF3D92" w14:textId="77777777" w:rsidR="003516BC" w:rsidRPr="009A7CD7" w:rsidRDefault="003516BC" w:rsidP="003516BC">
            <w:pPr>
              <w:jc w:val="center"/>
              <w:rPr>
                <w:color w:val="000000"/>
                <w:sz w:val="22"/>
                <w:szCs w:val="22"/>
              </w:rPr>
            </w:pPr>
            <w:r w:rsidRPr="009A7CD7">
              <w:rPr>
                <w:color w:val="000000"/>
                <w:sz w:val="22"/>
                <w:szCs w:val="22"/>
              </w:rPr>
              <w:t>3,8832</w:t>
            </w:r>
          </w:p>
        </w:tc>
        <w:tc>
          <w:tcPr>
            <w:tcW w:w="1418" w:type="dxa"/>
            <w:tcBorders>
              <w:top w:val="nil"/>
              <w:left w:val="nil"/>
              <w:bottom w:val="single" w:sz="4" w:space="0" w:color="auto"/>
              <w:right w:val="single" w:sz="4" w:space="0" w:color="auto"/>
            </w:tcBorders>
            <w:noWrap/>
            <w:vAlign w:val="bottom"/>
            <w:hideMark/>
          </w:tcPr>
          <w:p w14:paraId="38D9CBAD" w14:textId="77777777" w:rsidR="003516BC" w:rsidRPr="009A7CD7" w:rsidRDefault="003516BC" w:rsidP="00A56FA9">
            <w:pPr>
              <w:jc w:val="center"/>
              <w:rPr>
                <w:color w:val="000000"/>
                <w:sz w:val="22"/>
                <w:szCs w:val="22"/>
              </w:rPr>
            </w:pPr>
            <w:r w:rsidRPr="009A7CD7">
              <w:rPr>
                <w:color w:val="000000"/>
                <w:sz w:val="22"/>
                <w:szCs w:val="22"/>
              </w:rPr>
              <w:t>18.591.311</w:t>
            </w:r>
          </w:p>
        </w:tc>
        <w:tc>
          <w:tcPr>
            <w:tcW w:w="1417" w:type="dxa"/>
            <w:tcBorders>
              <w:top w:val="nil"/>
              <w:left w:val="nil"/>
              <w:bottom w:val="single" w:sz="4" w:space="0" w:color="auto"/>
              <w:right w:val="single" w:sz="4" w:space="0" w:color="auto"/>
            </w:tcBorders>
            <w:noWrap/>
            <w:vAlign w:val="bottom"/>
            <w:hideMark/>
          </w:tcPr>
          <w:p w14:paraId="16678A2F" w14:textId="77777777" w:rsidR="003516BC" w:rsidRPr="009A7CD7" w:rsidRDefault="003516BC" w:rsidP="00A56FA9">
            <w:pPr>
              <w:jc w:val="center"/>
              <w:rPr>
                <w:color w:val="000000"/>
                <w:sz w:val="22"/>
                <w:szCs w:val="22"/>
              </w:rPr>
            </w:pPr>
            <w:r w:rsidRPr="009A7CD7">
              <w:rPr>
                <w:color w:val="000000"/>
                <w:sz w:val="22"/>
                <w:szCs w:val="22"/>
              </w:rPr>
              <w:t>19.046.481</w:t>
            </w:r>
          </w:p>
        </w:tc>
        <w:tc>
          <w:tcPr>
            <w:tcW w:w="1418" w:type="dxa"/>
            <w:tcBorders>
              <w:top w:val="nil"/>
              <w:left w:val="nil"/>
              <w:bottom w:val="single" w:sz="4" w:space="0" w:color="auto"/>
              <w:right w:val="single" w:sz="4" w:space="0" w:color="auto"/>
            </w:tcBorders>
            <w:noWrap/>
            <w:vAlign w:val="bottom"/>
            <w:hideMark/>
          </w:tcPr>
          <w:p w14:paraId="1D2CFADA" w14:textId="77777777" w:rsidR="003516BC" w:rsidRPr="009A7CD7" w:rsidRDefault="003516BC" w:rsidP="00A56FA9">
            <w:pPr>
              <w:jc w:val="center"/>
              <w:rPr>
                <w:color w:val="000000"/>
                <w:sz w:val="22"/>
                <w:szCs w:val="22"/>
              </w:rPr>
            </w:pPr>
            <w:r w:rsidRPr="009A7CD7">
              <w:rPr>
                <w:color w:val="000000"/>
                <w:sz w:val="22"/>
                <w:szCs w:val="22"/>
              </w:rPr>
              <w:t>24.389.315</w:t>
            </w:r>
          </w:p>
        </w:tc>
      </w:tr>
      <w:tr w:rsidR="003516BC" w:rsidRPr="009A7CD7" w14:paraId="31880C65" w14:textId="77777777" w:rsidTr="00692AE4">
        <w:trPr>
          <w:trHeight w:val="310"/>
        </w:trPr>
        <w:tc>
          <w:tcPr>
            <w:tcW w:w="1271" w:type="dxa"/>
            <w:tcBorders>
              <w:top w:val="nil"/>
              <w:left w:val="single" w:sz="4" w:space="0" w:color="auto"/>
              <w:bottom w:val="single" w:sz="4" w:space="0" w:color="auto"/>
              <w:right w:val="single" w:sz="4" w:space="0" w:color="auto"/>
            </w:tcBorders>
            <w:noWrap/>
            <w:vAlign w:val="bottom"/>
            <w:hideMark/>
          </w:tcPr>
          <w:p w14:paraId="5C972434" w14:textId="77777777" w:rsidR="003516BC" w:rsidRPr="009A7CD7" w:rsidRDefault="003516BC" w:rsidP="003516BC">
            <w:pPr>
              <w:rPr>
                <w:color w:val="000000"/>
                <w:sz w:val="22"/>
                <w:szCs w:val="22"/>
              </w:rPr>
            </w:pPr>
            <w:r w:rsidRPr="009A7CD7">
              <w:rPr>
                <w:color w:val="000000"/>
                <w:sz w:val="22"/>
                <w:szCs w:val="22"/>
              </w:rPr>
              <w:t>Sicilia</w:t>
            </w:r>
          </w:p>
        </w:tc>
        <w:tc>
          <w:tcPr>
            <w:tcW w:w="1418" w:type="dxa"/>
            <w:tcBorders>
              <w:top w:val="nil"/>
              <w:left w:val="nil"/>
              <w:bottom w:val="single" w:sz="4" w:space="0" w:color="auto"/>
              <w:right w:val="single" w:sz="4" w:space="0" w:color="auto"/>
            </w:tcBorders>
            <w:noWrap/>
            <w:vAlign w:val="center"/>
            <w:hideMark/>
          </w:tcPr>
          <w:p w14:paraId="2D54BD87" w14:textId="77777777" w:rsidR="003516BC" w:rsidRPr="009A7CD7" w:rsidRDefault="003516BC" w:rsidP="003516BC">
            <w:pPr>
              <w:jc w:val="center"/>
              <w:rPr>
                <w:color w:val="000000"/>
                <w:sz w:val="22"/>
                <w:szCs w:val="22"/>
              </w:rPr>
            </w:pPr>
            <w:r w:rsidRPr="009A7CD7">
              <w:rPr>
                <w:color w:val="000000"/>
                <w:sz w:val="22"/>
                <w:szCs w:val="22"/>
              </w:rPr>
              <w:t>7,4727</w:t>
            </w:r>
          </w:p>
        </w:tc>
        <w:tc>
          <w:tcPr>
            <w:tcW w:w="2126" w:type="dxa"/>
            <w:tcBorders>
              <w:top w:val="nil"/>
              <w:left w:val="nil"/>
              <w:bottom w:val="single" w:sz="4" w:space="0" w:color="auto"/>
              <w:right w:val="single" w:sz="4" w:space="0" w:color="auto"/>
            </w:tcBorders>
            <w:noWrap/>
            <w:vAlign w:val="center"/>
            <w:hideMark/>
          </w:tcPr>
          <w:p w14:paraId="26F7A755" w14:textId="77777777" w:rsidR="003516BC" w:rsidRPr="009A7CD7" w:rsidRDefault="003516BC" w:rsidP="003516BC">
            <w:pPr>
              <w:jc w:val="center"/>
              <w:rPr>
                <w:color w:val="000000"/>
                <w:sz w:val="22"/>
                <w:szCs w:val="22"/>
              </w:rPr>
            </w:pPr>
            <w:r w:rsidRPr="009A7CD7">
              <w:rPr>
                <w:color w:val="000000"/>
                <w:sz w:val="22"/>
                <w:szCs w:val="22"/>
              </w:rPr>
              <w:t>8,9671</w:t>
            </w:r>
          </w:p>
        </w:tc>
        <w:tc>
          <w:tcPr>
            <w:tcW w:w="1417" w:type="dxa"/>
            <w:tcBorders>
              <w:top w:val="nil"/>
              <w:left w:val="nil"/>
              <w:bottom w:val="single" w:sz="4" w:space="0" w:color="auto"/>
              <w:right w:val="single" w:sz="4" w:space="0" w:color="auto"/>
            </w:tcBorders>
            <w:noWrap/>
            <w:vAlign w:val="center"/>
            <w:hideMark/>
          </w:tcPr>
          <w:p w14:paraId="05DB1FB4" w14:textId="77777777" w:rsidR="003516BC" w:rsidRPr="009A7CD7" w:rsidRDefault="003516BC" w:rsidP="003516BC">
            <w:pPr>
              <w:jc w:val="center"/>
              <w:rPr>
                <w:color w:val="000000"/>
                <w:sz w:val="22"/>
                <w:szCs w:val="22"/>
              </w:rPr>
            </w:pPr>
            <w:r w:rsidRPr="009A7CD7">
              <w:rPr>
                <w:color w:val="000000"/>
                <w:sz w:val="22"/>
                <w:szCs w:val="22"/>
              </w:rPr>
              <w:t>7,984</w:t>
            </w:r>
          </w:p>
        </w:tc>
        <w:tc>
          <w:tcPr>
            <w:tcW w:w="1418" w:type="dxa"/>
            <w:tcBorders>
              <w:top w:val="nil"/>
              <w:left w:val="nil"/>
              <w:bottom w:val="single" w:sz="4" w:space="0" w:color="auto"/>
              <w:right w:val="single" w:sz="4" w:space="0" w:color="auto"/>
            </w:tcBorders>
            <w:noWrap/>
            <w:vAlign w:val="bottom"/>
            <w:hideMark/>
          </w:tcPr>
          <w:p w14:paraId="425BFC3B" w14:textId="77777777" w:rsidR="003516BC" w:rsidRPr="009A7CD7" w:rsidRDefault="003516BC" w:rsidP="00A56FA9">
            <w:pPr>
              <w:jc w:val="center"/>
              <w:rPr>
                <w:color w:val="000000"/>
                <w:sz w:val="22"/>
                <w:szCs w:val="22"/>
              </w:rPr>
            </w:pPr>
            <w:r w:rsidRPr="009A7CD7">
              <w:rPr>
                <w:color w:val="000000"/>
                <w:sz w:val="22"/>
                <w:szCs w:val="22"/>
              </w:rPr>
              <w:t>46.432.108</w:t>
            </w:r>
          </w:p>
        </w:tc>
        <w:tc>
          <w:tcPr>
            <w:tcW w:w="1417" w:type="dxa"/>
            <w:tcBorders>
              <w:top w:val="nil"/>
              <w:left w:val="nil"/>
              <w:bottom w:val="single" w:sz="4" w:space="0" w:color="auto"/>
              <w:right w:val="single" w:sz="4" w:space="0" w:color="auto"/>
            </w:tcBorders>
            <w:noWrap/>
            <w:vAlign w:val="bottom"/>
            <w:hideMark/>
          </w:tcPr>
          <w:p w14:paraId="5DE833FB" w14:textId="77777777" w:rsidR="003516BC" w:rsidRPr="009A7CD7" w:rsidRDefault="003516BC" w:rsidP="00A56FA9">
            <w:pPr>
              <w:jc w:val="center"/>
              <w:rPr>
                <w:color w:val="000000"/>
                <w:sz w:val="22"/>
                <w:szCs w:val="22"/>
              </w:rPr>
            </w:pPr>
            <w:r w:rsidRPr="009A7CD7">
              <w:rPr>
                <w:color w:val="000000"/>
                <w:sz w:val="22"/>
                <w:szCs w:val="22"/>
              </w:rPr>
              <w:t>47.568.903</w:t>
            </w:r>
          </w:p>
        </w:tc>
        <w:tc>
          <w:tcPr>
            <w:tcW w:w="1418" w:type="dxa"/>
            <w:tcBorders>
              <w:top w:val="nil"/>
              <w:left w:val="nil"/>
              <w:bottom w:val="single" w:sz="4" w:space="0" w:color="auto"/>
              <w:right w:val="single" w:sz="4" w:space="0" w:color="auto"/>
            </w:tcBorders>
            <w:noWrap/>
            <w:vAlign w:val="bottom"/>
            <w:hideMark/>
          </w:tcPr>
          <w:p w14:paraId="301F0824" w14:textId="77777777" w:rsidR="003516BC" w:rsidRPr="009A7CD7" w:rsidRDefault="003516BC" w:rsidP="00A56FA9">
            <w:pPr>
              <w:jc w:val="center"/>
              <w:rPr>
                <w:color w:val="000000"/>
                <w:sz w:val="22"/>
                <w:szCs w:val="22"/>
              </w:rPr>
            </w:pPr>
            <w:r w:rsidRPr="009A7CD7">
              <w:rPr>
                <w:color w:val="000000"/>
                <w:sz w:val="22"/>
                <w:szCs w:val="22"/>
              </w:rPr>
              <w:t>60.912.719</w:t>
            </w:r>
          </w:p>
        </w:tc>
      </w:tr>
      <w:tr w:rsidR="003516BC" w:rsidRPr="009A7CD7" w14:paraId="41BEC1F0" w14:textId="77777777" w:rsidTr="00692AE4">
        <w:trPr>
          <w:trHeight w:val="310"/>
        </w:trPr>
        <w:tc>
          <w:tcPr>
            <w:tcW w:w="1271" w:type="dxa"/>
            <w:tcBorders>
              <w:top w:val="nil"/>
              <w:left w:val="single" w:sz="4" w:space="0" w:color="auto"/>
              <w:bottom w:val="single" w:sz="4" w:space="0" w:color="auto"/>
              <w:right w:val="single" w:sz="4" w:space="0" w:color="auto"/>
            </w:tcBorders>
            <w:noWrap/>
            <w:vAlign w:val="bottom"/>
            <w:hideMark/>
          </w:tcPr>
          <w:p w14:paraId="4B5044D3" w14:textId="77777777" w:rsidR="003516BC" w:rsidRPr="009A7CD7" w:rsidRDefault="003516BC" w:rsidP="003516BC">
            <w:pPr>
              <w:rPr>
                <w:color w:val="000000"/>
                <w:sz w:val="22"/>
                <w:szCs w:val="22"/>
              </w:rPr>
            </w:pPr>
            <w:r w:rsidRPr="009A7CD7">
              <w:rPr>
                <w:color w:val="000000"/>
                <w:sz w:val="22"/>
                <w:szCs w:val="22"/>
              </w:rPr>
              <w:t>Toscana</w:t>
            </w:r>
          </w:p>
        </w:tc>
        <w:tc>
          <w:tcPr>
            <w:tcW w:w="1418" w:type="dxa"/>
            <w:tcBorders>
              <w:top w:val="nil"/>
              <w:left w:val="nil"/>
              <w:bottom w:val="single" w:sz="4" w:space="0" w:color="auto"/>
              <w:right w:val="single" w:sz="4" w:space="0" w:color="auto"/>
            </w:tcBorders>
            <w:noWrap/>
            <w:vAlign w:val="center"/>
            <w:hideMark/>
          </w:tcPr>
          <w:p w14:paraId="616D2D17" w14:textId="77777777" w:rsidR="003516BC" w:rsidRPr="009A7CD7" w:rsidRDefault="003516BC" w:rsidP="003516BC">
            <w:pPr>
              <w:jc w:val="center"/>
              <w:rPr>
                <w:color w:val="000000"/>
                <w:sz w:val="22"/>
                <w:szCs w:val="22"/>
              </w:rPr>
            </w:pPr>
            <w:r w:rsidRPr="009A7CD7">
              <w:rPr>
                <w:color w:val="000000"/>
                <w:sz w:val="22"/>
                <w:szCs w:val="22"/>
              </w:rPr>
              <w:t>7,1869</w:t>
            </w:r>
          </w:p>
        </w:tc>
        <w:tc>
          <w:tcPr>
            <w:tcW w:w="2126" w:type="dxa"/>
            <w:tcBorders>
              <w:top w:val="nil"/>
              <w:left w:val="nil"/>
              <w:bottom w:val="single" w:sz="4" w:space="0" w:color="auto"/>
              <w:right w:val="single" w:sz="4" w:space="0" w:color="auto"/>
            </w:tcBorders>
            <w:noWrap/>
            <w:vAlign w:val="center"/>
            <w:hideMark/>
          </w:tcPr>
          <w:p w14:paraId="3467AE69" w14:textId="77777777" w:rsidR="003516BC" w:rsidRPr="009A7CD7" w:rsidRDefault="003516BC" w:rsidP="003516BC">
            <w:pPr>
              <w:jc w:val="center"/>
              <w:rPr>
                <w:color w:val="000000"/>
                <w:sz w:val="22"/>
                <w:szCs w:val="22"/>
              </w:rPr>
            </w:pPr>
            <w:r w:rsidRPr="009A7CD7">
              <w:rPr>
                <w:color w:val="000000"/>
                <w:sz w:val="22"/>
                <w:szCs w:val="22"/>
              </w:rPr>
              <w:t>4,9489</w:t>
            </w:r>
          </w:p>
        </w:tc>
        <w:tc>
          <w:tcPr>
            <w:tcW w:w="1417" w:type="dxa"/>
            <w:tcBorders>
              <w:top w:val="nil"/>
              <w:left w:val="nil"/>
              <w:bottom w:val="single" w:sz="4" w:space="0" w:color="auto"/>
              <w:right w:val="single" w:sz="4" w:space="0" w:color="auto"/>
            </w:tcBorders>
            <w:noWrap/>
            <w:vAlign w:val="center"/>
            <w:hideMark/>
          </w:tcPr>
          <w:p w14:paraId="089AD0EF" w14:textId="77777777" w:rsidR="003516BC" w:rsidRPr="009A7CD7" w:rsidRDefault="003516BC" w:rsidP="003516BC">
            <w:pPr>
              <w:jc w:val="center"/>
              <w:rPr>
                <w:color w:val="000000"/>
                <w:sz w:val="22"/>
                <w:szCs w:val="22"/>
              </w:rPr>
            </w:pPr>
            <w:r w:rsidRPr="009A7CD7">
              <w:rPr>
                <w:color w:val="000000"/>
                <w:sz w:val="22"/>
                <w:szCs w:val="22"/>
              </w:rPr>
              <w:t>4,8777</w:t>
            </w:r>
          </w:p>
        </w:tc>
        <w:tc>
          <w:tcPr>
            <w:tcW w:w="1418" w:type="dxa"/>
            <w:tcBorders>
              <w:top w:val="nil"/>
              <w:left w:val="nil"/>
              <w:bottom w:val="single" w:sz="4" w:space="0" w:color="auto"/>
              <w:right w:val="single" w:sz="4" w:space="0" w:color="auto"/>
            </w:tcBorders>
            <w:noWrap/>
            <w:vAlign w:val="bottom"/>
            <w:hideMark/>
          </w:tcPr>
          <w:p w14:paraId="364E0BAF" w14:textId="77777777" w:rsidR="003516BC" w:rsidRPr="009A7CD7" w:rsidRDefault="003516BC" w:rsidP="00A56FA9">
            <w:pPr>
              <w:jc w:val="center"/>
              <w:rPr>
                <w:color w:val="000000"/>
                <w:sz w:val="22"/>
                <w:szCs w:val="22"/>
              </w:rPr>
            </w:pPr>
            <w:r w:rsidRPr="009A7CD7">
              <w:rPr>
                <w:color w:val="000000"/>
                <w:sz w:val="22"/>
                <w:szCs w:val="22"/>
              </w:rPr>
              <w:t>40.737.431</w:t>
            </w:r>
          </w:p>
        </w:tc>
        <w:tc>
          <w:tcPr>
            <w:tcW w:w="1417" w:type="dxa"/>
            <w:tcBorders>
              <w:top w:val="nil"/>
              <w:left w:val="nil"/>
              <w:bottom w:val="single" w:sz="4" w:space="0" w:color="auto"/>
              <w:right w:val="single" w:sz="4" w:space="0" w:color="auto"/>
            </w:tcBorders>
            <w:noWrap/>
            <w:vAlign w:val="bottom"/>
            <w:hideMark/>
          </w:tcPr>
          <w:p w14:paraId="6B230E84" w14:textId="77777777" w:rsidR="003516BC" w:rsidRPr="009A7CD7" w:rsidRDefault="003516BC" w:rsidP="00A56FA9">
            <w:pPr>
              <w:jc w:val="center"/>
              <w:rPr>
                <w:color w:val="000000"/>
                <w:sz w:val="22"/>
                <w:szCs w:val="22"/>
              </w:rPr>
            </w:pPr>
            <w:r w:rsidRPr="009A7CD7">
              <w:rPr>
                <w:color w:val="000000"/>
                <w:sz w:val="22"/>
                <w:szCs w:val="22"/>
              </w:rPr>
              <w:t>41.734.804</w:t>
            </w:r>
          </w:p>
        </w:tc>
        <w:tc>
          <w:tcPr>
            <w:tcW w:w="1418" w:type="dxa"/>
            <w:tcBorders>
              <w:top w:val="nil"/>
              <w:left w:val="nil"/>
              <w:bottom w:val="single" w:sz="4" w:space="0" w:color="auto"/>
              <w:right w:val="single" w:sz="4" w:space="0" w:color="auto"/>
            </w:tcBorders>
            <w:noWrap/>
            <w:vAlign w:val="bottom"/>
            <w:hideMark/>
          </w:tcPr>
          <w:p w14:paraId="3AF0C4E8" w14:textId="77777777" w:rsidR="003516BC" w:rsidRPr="009A7CD7" w:rsidRDefault="003516BC" w:rsidP="00A56FA9">
            <w:pPr>
              <w:jc w:val="center"/>
              <w:rPr>
                <w:color w:val="000000"/>
                <w:sz w:val="22"/>
                <w:szCs w:val="22"/>
              </w:rPr>
            </w:pPr>
            <w:r w:rsidRPr="009A7CD7">
              <w:rPr>
                <w:color w:val="000000"/>
                <w:sz w:val="22"/>
                <w:szCs w:val="22"/>
              </w:rPr>
              <w:t>53.442.065</w:t>
            </w:r>
          </w:p>
        </w:tc>
      </w:tr>
      <w:tr w:rsidR="003516BC" w:rsidRPr="009A7CD7" w14:paraId="07BF0D77" w14:textId="77777777" w:rsidTr="00692AE4">
        <w:trPr>
          <w:trHeight w:val="310"/>
        </w:trPr>
        <w:tc>
          <w:tcPr>
            <w:tcW w:w="1271" w:type="dxa"/>
            <w:tcBorders>
              <w:top w:val="nil"/>
              <w:left w:val="single" w:sz="4" w:space="0" w:color="auto"/>
              <w:bottom w:val="single" w:sz="4" w:space="0" w:color="auto"/>
              <w:right w:val="single" w:sz="4" w:space="0" w:color="auto"/>
            </w:tcBorders>
            <w:noWrap/>
            <w:vAlign w:val="bottom"/>
            <w:hideMark/>
          </w:tcPr>
          <w:p w14:paraId="4E22DCDE" w14:textId="77777777" w:rsidR="003516BC" w:rsidRPr="009A7CD7" w:rsidRDefault="003516BC" w:rsidP="003516BC">
            <w:pPr>
              <w:rPr>
                <w:color w:val="000000"/>
                <w:sz w:val="22"/>
                <w:szCs w:val="22"/>
              </w:rPr>
            </w:pPr>
            <w:r w:rsidRPr="009A7CD7">
              <w:rPr>
                <w:color w:val="000000"/>
                <w:sz w:val="22"/>
                <w:szCs w:val="22"/>
              </w:rPr>
              <w:lastRenderedPageBreak/>
              <w:t>Umbria</w:t>
            </w:r>
          </w:p>
        </w:tc>
        <w:tc>
          <w:tcPr>
            <w:tcW w:w="1418" w:type="dxa"/>
            <w:tcBorders>
              <w:top w:val="nil"/>
              <w:left w:val="nil"/>
              <w:bottom w:val="single" w:sz="4" w:space="0" w:color="auto"/>
              <w:right w:val="single" w:sz="4" w:space="0" w:color="auto"/>
            </w:tcBorders>
            <w:noWrap/>
            <w:vAlign w:val="center"/>
            <w:hideMark/>
          </w:tcPr>
          <w:p w14:paraId="2A8011D5" w14:textId="77777777" w:rsidR="003516BC" w:rsidRPr="009A7CD7" w:rsidRDefault="003516BC" w:rsidP="003516BC">
            <w:pPr>
              <w:jc w:val="center"/>
              <w:rPr>
                <w:color w:val="000000"/>
                <w:sz w:val="22"/>
                <w:szCs w:val="22"/>
              </w:rPr>
            </w:pPr>
            <w:r w:rsidRPr="009A7CD7">
              <w:rPr>
                <w:color w:val="000000"/>
                <w:sz w:val="22"/>
                <w:szCs w:val="22"/>
              </w:rPr>
              <w:t>1,7029</w:t>
            </w:r>
          </w:p>
        </w:tc>
        <w:tc>
          <w:tcPr>
            <w:tcW w:w="2126" w:type="dxa"/>
            <w:tcBorders>
              <w:top w:val="nil"/>
              <w:left w:val="nil"/>
              <w:bottom w:val="single" w:sz="4" w:space="0" w:color="auto"/>
              <w:right w:val="single" w:sz="4" w:space="0" w:color="auto"/>
            </w:tcBorders>
            <w:noWrap/>
            <w:vAlign w:val="center"/>
            <w:hideMark/>
          </w:tcPr>
          <w:p w14:paraId="0E38E269" w14:textId="77777777" w:rsidR="003516BC" w:rsidRPr="009A7CD7" w:rsidRDefault="003516BC" w:rsidP="003516BC">
            <w:pPr>
              <w:jc w:val="center"/>
              <w:rPr>
                <w:color w:val="000000"/>
                <w:sz w:val="22"/>
                <w:szCs w:val="22"/>
              </w:rPr>
            </w:pPr>
            <w:r w:rsidRPr="009A7CD7">
              <w:rPr>
                <w:color w:val="000000"/>
                <w:sz w:val="22"/>
                <w:szCs w:val="22"/>
              </w:rPr>
              <w:t>2,2742</w:t>
            </w:r>
          </w:p>
        </w:tc>
        <w:tc>
          <w:tcPr>
            <w:tcW w:w="1417" w:type="dxa"/>
            <w:tcBorders>
              <w:top w:val="nil"/>
              <w:left w:val="nil"/>
              <w:bottom w:val="single" w:sz="4" w:space="0" w:color="auto"/>
              <w:right w:val="single" w:sz="4" w:space="0" w:color="auto"/>
            </w:tcBorders>
            <w:noWrap/>
            <w:vAlign w:val="center"/>
            <w:hideMark/>
          </w:tcPr>
          <w:p w14:paraId="37529B4E" w14:textId="77777777" w:rsidR="003516BC" w:rsidRPr="009A7CD7" w:rsidRDefault="003516BC" w:rsidP="003516BC">
            <w:pPr>
              <w:jc w:val="center"/>
              <w:rPr>
                <w:color w:val="000000"/>
                <w:sz w:val="22"/>
                <w:szCs w:val="22"/>
              </w:rPr>
            </w:pPr>
            <w:r w:rsidRPr="009A7CD7">
              <w:rPr>
                <w:color w:val="000000"/>
                <w:sz w:val="22"/>
                <w:szCs w:val="22"/>
              </w:rPr>
              <w:t>2,4014</w:t>
            </w:r>
          </w:p>
        </w:tc>
        <w:tc>
          <w:tcPr>
            <w:tcW w:w="1418" w:type="dxa"/>
            <w:tcBorders>
              <w:top w:val="nil"/>
              <w:left w:val="nil"/>
              <w:bottom w:val="single" w:sz="4" w:space="0" w:color="auto"/>
              <w:right w:val="single" w:sz="4" w:space="0" w:color="auto"/>
            </w:tcBorders>
            <w:noWrap/>
            <w:vAlign w:val="bottom"/>
            <w:hideMark/>
          </w:tcPr>
          <w:p w14:paraId="771CCBE9" w14:textId="77777777" w:rsidR="003516BC" w:rsidRPr="009A7CD7" w:rsidRDefault="003516BC" w:rsidP="00A56FA9">
            <w:pPr>
              <w:jc w:val="center"/>
              <w:rPr>
                <w:color w:val="000000"/>
                <w:sz w:val="22"/>
                <w:szCs w:val="22"/>
              </w:rPr>
            </w:pPr>
            <w:r w:rsidRPr="009A7CD7">
              <w:rPr>
                <w:color w:val="000000"/>
                <w:sz w:val="22"/>
                <w:szCs w:val="22"/>
              </w:rPr>
              <w:t>11.072.878</w:t>
            </w:r>
          </w:p>
        </w:tc>
        <w:tc>
          <w:tcPr>
            <w:tcW w:w="1417" w:type="dxa"/>
            <w:tcBorders>
              <w:top w:val="nil"/>
              <w:left w:val="nil"/>
              <w:bottom w:val="single" w:sz="4" w:space="0" w:color="auto"/>
              <w:right w:val="single" w:sz="4" w:space="0" w:color="auto"/>
            </w:tcBorders>
            <w:noWrap/>
            <w:vAlign w:val="bottom"/>
            <w:hideMark/>
          </w:tcPr>
          <w:p w14:paraId="26C79BE9" w14:textId="77777777" w:rsidR="003516BC" w:rsidRPr="009A7CD7" w:rsidRDefault="003516BC" w:rsidP="00A56FA9">
            <w:pPr>
              <w:jc w:val="center"/>
              <w:rPr>
                <w:color w:val="000000"/>
                <w:sz w:val="22"/>
                <w:szCs w:val="22"/>
              </w:rPr>
            </w:pPr>
            <w:r w:rsidRPr="009A7CD7">
              <w:rPr>
                <w:color w:val="000000"/>
                <w:sz w:val="22"/>
                <w:szCs w:val="22"/>
              </w:rPr>
              <w:t>11.343.975</w:t>
            </w:r>
          </w:p>
        </w:tc>
        <w:tc>
          <w:tcPr>
            <w:tcW w:w="1418" w:type="dxa"/>
            <w:tcBorders>
              <w:top w:val="nil"/>
              <w:left w:val="nil"/>
              <w:bottom w:val="single" w:sz="4" w:space="0" w:color="auto"/>
              <w:right w:val="single" w:sz="4" w:space="0" w:color="auto"/>
            </w:tcBorders>
            <w:noWrap/>
            <w:vAlign w:val="bottom"/>
            <w:hideMark/>
          </w:tcPr>
          <w:p w14:paraId="52B513A2" w14:textId="77777777" w:rsidR="003516BC" w:rsidRPr="009A7CD7" w:rsidRDefault="003516BC" w:rsidP="00A56FA9">
            <w:pPr>
              <w:jc w:val="center"/>
              <w:rPr>
                <w:color w:val="000000"/>
                <w:sz w:val="22"/>
                <w:szCs w:val="22"/>
              </w:rPr>
            </w:pPr>
            <w:r w:rsidRPr="009A7CD7">
              <w:rPr>
                <w:color w:val="000000"/>
                <w:sz w:val="22"/>
                <w:szCs w:val="22"/>
              </w:rPr>
              <w:t>14.526.136</w:t>
            </w:r>
          </w:p>
        </w:tc>
      </w:tr>
      <w:tr w:rsidR="003516BC" w:rsidRPr="009A7CD7" w14:paraId="6B26112C" w14:textId="77777777" w:rsidTr="00692AE4">
        <w:trPr>
          <w:trHeight w:val="310"/>
        </w:trPr>
        <w:tc>
          <w:tcPr>
            <w:tcW w:w="1271" w:type="dxa"/>
            <w:tcBorders>
              <w:top w:val="nil"/>
              <w:left w:val="single" w:sz="4" w:space="0" w:color="auto"/>
              <w:bottom w:val="single" w:sz="4" w:space="0" w:color="auto"/>
              <w:right w:val="single" w:sz="4" w:space="0" w:color="auto"/>
            </w:tcBorders>
            <w:noWrap/>
            <w:vAlign w:val="bottom"/>
            <w:hideMark/>
          </w:tcPr>
          <w:p w14:paraId="47743904" w14:textId="0B827637" w:rsidR="003516BC" w:rsidRPr="009A7CD7" w:rsidRDefault="003516BC" w:rsidP="003516BC">
            <w:pPr>
              <w:rPr>
                <w:color w:val="000000"/>
                <w:sz w:val="22"/>
                <w:szCs w:val="22"/>
              </w:rPr>
            </w:pPr>
            <w:r w:rsidRPr="009A7CD7">
              <w:rPr>
                <w:color w:val="000000"/>
                <w:sz w:val="22"/>
                <w:szCs w:val="22"/>
              </w:rPr>
              <w:t>Valle d</w:t>
            </w:r>
            <w:r w:rsidR="00182CC8" w:rsidRPr="009A7CD7">
              <w:rPr>
                <w:color w:val="000000"/>
                <w:sz w:val="22"/>
                <w:szCs w:val="22"/>
              </w:rPr>
              <w:t>’</w:t>
            </w:r>
            <w:r w:rsidRPr="009A7CD7">
              <w:rPr>
                <w:color w:val="000000"/>
                <w:sz w:val="22"/>
                <w:szCs w:val="22"/>
              </w:rPr>
              <w:t>Aosta</w:t>
            </w:r>
          </w:p>
        </w:tc>
        <w:tc>
          <w:tcPr>
            <w:tcW w:w="1418" w:type="dxa"/>
            <w:tcBorders>
              <w:top w:val="nil"/>
              <w:left w:val="nil"/>
              <w:bottom w:val="single" w:sz="4" w:space="0" w:color="auto"/>
              <w:right w:val="single" w:sz="4" w:space="0" w:color="auto"/>
            </w:tcBorders>
            <w:noWrap/>
            <w:vAlign w:val="center"/>
            <w:hideMark/>
          </w:tcPr>
          <w:p w14:paraId="50BC1D6D" w14:textId="77777777" w:rsidR="003516BC" w:rsidRPr="009A7CD7" w:rsidRDefault="003516BC" w:rsidP="003516BC">
            <w:pPr>
              <w:jc w:val="center"/>
              <w:rPr>
                <w:color w:val="000000"/>
                <w:sz w:val="22"/>
                <w:szCs w:val="22"/>
              </w:rPr>
            </w:pPr>
            <w:r w:rsidRPr="009A7CD7">
              <w:rPr>
                <w:color w:val="000000"/>
                <w:sz w:val="22"/>
                <w:szCs w:val="22"/>
              </w:rPr>
              <w:t>0,2206</w:t>
            </w:r>
          </w:p>
        </w:tc>
        <w:tc>
          <w:tcPr>
            <w:tcW w:w="2126" w:type="dxa"/>
            <w:tcBorders>
              <w:top w:val="nil"/>
              <w:left w:val="nil"/>
              <w:bottom w:val="single" w:sz="4" w:space="0" w:color="auto"/>
              <w:right w:val="single" w:sz="4" w:space="0" w:color="auto"/>
            </w:tcBorders>
            <w:noWrap/>
            <w:vAlign w:val="center"/>
            <w:hideMark/>
          </w:tcPr>
          <w:p w14:paraId="5BC1C9AB" w14:textId="77777777" w:rsidR="003516BC" w:rsidRPr="009A7CD7" w:rsidRDefault="003516BC" w:rsidP="003516BC">
            <w:pPr>
              <w:jc w:val="center"/>
              <w:rPr>
                <w:color w:val="000000"/>
                <w:sz w:val="22"/>
                <w:szCs w:val="22"/>
              </w:rPr>
            </w:pPr>
            <w:r w:rsidRPr="009A7CD7">
              <w:rPr>
                <w:color w:val="000000"/>
                <w:sz w:val="22"/>
                <w:szCs w:val="22"/>
              </w:rPr>
              <w:t>0,1463</w:t>
            </w:r>
          </w:p>
        </w:tc>
        <w:tc>
          <w:tcPr>
            <w:tcW w:w="1417" w:type="dxa"/>
            <w:tcBorders>
              <w:top w:val="nil"/>
              <w:left w:val="nil"/>
              <w:bottom w:val="single" w:sz="4" w:space="0" w:color="auto"/>
              <w:right w:val="single" w:sz="4" w:space="0" w:color="auto"/>
            </w:tcBorders>
            <w:noWrap/>
            <w:vAlign w:val="center"/>
            <w:hideMark/>
          </w:tcPr>
          <w:p w14:paraId="3462949E" w14:textId="77777777" w:rsidR="003516BC" w:rsidRPr="009A7CD7" w:rsidRDefault="003516BC" w:rsidP="003516BC">
            <w:pPr>
              <w:jc w:val="center"/>
              <w:rPr>
                <w:color w:val="000000"/>
                <w:sz w:val="22"/>
                <w:szCs w:val="22"/>
              </w:rPr>
            </w:pPr>
            <w:r w:rsidRPr="009A7CD7">
              <w:rPr>
                <w:color w:val="000000"/>
                <w:sz w:val="22"/>
                <w:szCs w:val="22"/>
              </w:rPr>
              <w:t>0,1324</w:t>
            </w:r>
          </w:p>
        </w:tc>
        <w:tc>
          <w:tcPr>
            <w:tcW w:w="1418" w:type="dxa"/>
            <w:tcBorders>
              <w:top w:val="nil"/>
              <w:left w:val="nil"/>
              <w:bottom w:val="single" w:sz="4" w:space="0" w:color="auto"/>
              <w:right w:val="single" w:sz="4" w:space="0" w:color="auto"/>
            </w:tcBorders>
            <w:noWrap/>
            <w:vAlign w:val="bottom"/>
            <w:hideMark/>
          </w:tcPr>
          <w:p w14:paraId="44EC2FAA" w14:textId="77777777" w:rsidR="003516BC" w:rsidRPr="009A7CD7" w:rsidRDefault="003516BC" w:rsidP="00C02D87">
            <w:pPr>
              <w:jc w:val="center"/>
              <w:rPr>
                <w:color w:val="000000"/>
                <w:sz w:val="22"/>
                <w:szCs w:val="22"/>
              </w:rPr>
            </w:pPr>
            <w:r w:rsidRPr="009A7CD7">
              <w:rPr>
                <w:color w:val="000000"/>
                <w:sz w:val="22"/>
                <w:szCs w:val="22"/>
              </w:rPr>
              <w:t>1.236.553</w:t>
            </w:r>
          </w:p>
        </w:tc>
        <w:tc>
          <w:tcPr>
            <w:tcW w:w="1417" w:type="dxa"/>
            <w:tcBorders>
              <w:top w:val="nil"/>
              <w:left w:val="nil"/>
              <w:bottom w:val="single" w:sz="4" w:space="0" w:color="auto"/>
              <w:right w:val="single" w:sz="4" w:space="0" w:color="auto"/>
            </w:tcBorders>
            <w:noWrap/>
            <w:vAlign w:val="bottom"/>
            <w:hideMark/>
          </w:tcPr>
          <w:p w14:paraId="33ED646D" w14:textId="77777777" w:rsidR="003516BC" w:rsidRPr="009A7CD7" w:rsidRDefault="003516BC" w:rsidP="00C02D87">
            <w:pPr>
              <w:jc w:val="center"/>
              <w:rPr>
                <w:color w:val="000000"/>
                <w:sz w:val="22"/>
                <w:szCs w:val="22"/>
              </w:rPr>
            </w:pPr>
            <w:r w:rsidRPr="009A7CD7">
              <w:rPr>
                <w:color w:val="000000"/>
                <w:sz w:val="22"/>
                <w:szCs w:val="22"/>
              </w:rPr>
              <w:t>1.266.827</w:t>
            </w:r>
          </w:p>
        </w:tc>
        <w:tc>
          <w:tcPr>
            <w:tcW w:w="1418" w:type="dxa"/>
            <w:tcBorders>
              <w:top w:val="nil"/>
              <w:left w:val="nil"/>
              <w:bottom w:val="single" w:sz="4" w:space="0" w:color="auto"/>
              <w:right w:val="single" w:sz="4" w:space="0" w:color="auto"/>
            </w:tcBorders>
            <w:noWrap/>
            <w:vAlign w:val="bottom"/>
            <w:hideMark/>
          </w:tcPr>
          <w:p w14:paraId="35327101" w14:textId="77777777" w:rsidR="003516BC" w:rsidRPr="009A7CD7" w:rsidRDefault="003516BC" w:rsidP="00C02D87">
            <w:pPr>
              <w:jc w:val="center"/>
              <w:rPr>
                <w:color w:val="000000"/>
                <w:sz w:val="22"/>
                <w:szCs w:val="22"/>
              </w:rPr>
            </w:pPr>
            <w:r w:rsidRPr="009A7CD7">
              <w:rPr>
                <w:color w:val="000000"/>
                <w:sz w:val="22"/>
                <w:szCs w:val="22"/>
              </w:rPr>
              <w:t>1.622.192</w:t>
            </w:r>
          </w:p>
        </w:tc>
      </w:tr>
      <w:tr w:rsidR="003516BC" w:rsidRPr="009A7CD7" w14:paraId="55814591" w14:textId="77777777" w:rsidTr="00692AE4">
        <w:trPr>
          <w:trHeight w:val="310"/>
        </w:trPr>
        <w:tc>
          <w:tcPr>
            <w:tcW w:w="1271" w:type="dxa"/>
            <w:tcBorders>
              <w:top w:val="nil"/>
              <w:left w:val="single" w:sz="4" w:space="0" w:color="auto"/>
              <w:bottom w:val="single" w:sz="4" w:space="0" w:color="auto"/>
              <w:right w:val="single" w:sz="4" w:space="0" w:color="auto"/>
            </w:tcBorders>
            <w:noWrap/>
            <w:vAlign w:val="bottom"/>
            <w:hideMark/>
          </w:tcPr>
          <w:p w14:paraId="2E6DAEB6" w14:textId="77777777" w:rsidR="003516BC" w:rsidRPr="009A7CD7" w:rsidRDefault="003516BC" w:rsidP="003516BC">
            <w:pPr>
              <w:rPr>
                <w:color w:val="000000"/>
                <w:sz w:val="22"/>
                <w:szCs w:val="22"/>
              </w:rPr>
            </w:pPr>
            <w:r w:rsidRPr="009A7CD7">
              <w:rPr>
                <w:color w:val="000000"/>
                <w:sz w:val="22"/>
                <w:szCs w:val="22"/>
              </w:rPr>
              <w:t>Veneto</w:t>
            </w:r>
          </w:p>
        </w:tc>
        <w:tc>
          <w:tcPr>
            <w:tcW w:w="1418" w:type="dxa"/>
            <w:tcBorders>
              <w:top w:val="nil"/>
              <w:left w:val="nil"/>
              <w:bottom w:val="single" w:sz="4" w:space="0" w:color="auto"/>
              <w:right w:val="single" w:sz="4" w:space="0" w:color="auto"/>
            </w:tcBorders>
            <w:noWrap/>
            <w:vAlign w:val="center"/>
            <w:hideMark/>
          </w:tcPr>
          <w:p w14:paraId="40D43AFB" w14:textId="77777777" w:rsidR="003516BC" w:rsidRPr="009A7CD7" w:rsidRDefault="003516BC" w:rsidP="003516BC">
            <w:pPr>
              <w:jc w:val="center"/>
              <w:rPr>
                <w:color w:val="000000"/>
                <w:sz w:val="22"/>
                <w:szCs w:val="22"/>
              </w:rPr>
            </w:pPr>
            <w:r w:rsidRPr="009A7CD7">
              <w:rPr>
                <w:color w:val="000000"/>
                <w:sz w:val="22"/>
                <w:szCs w:val="22"/>
              </w:rPr>
              <w:t>8,5022</w:t>
            </w:r>
          </w:p>
        </w:tc>
        <w:tc>
          <w:tcPr>
            <w:tcW w:w="2126" w:type="dxa"/>
            <w:tcBorders>
              <w:top w:val="nil"/>
              <w:left w:val="nil"/>
              <w:bottom w:val="single" w:sz="4" w:space="0" w:color="auto"/>
              <w:right w:val="single" w:sz="4" w:space="0" w:color="auto"/>
            </w:tcBorders>
            <w:noWrap/>
            <w:vAlign w:val="center"/>
            <w:hideMark/>
          </w:tcPr>
          <w:p w14:paraId="28E7983C" w14:textId="77777777" w:rsidR="003516BC" w:rsidRPr="009A7CD7" w:rsidRDefault="003516BC" w:rsidP="003516BC">
            <w:pPr>
              <w:jc w:val="center"/>
              <w:rPr>
                <w:color w:val="000000"/>
                <w:sz w:val="22"/>
                <w:szCs w:val="22"/>
              </w:rPr>
            </w:pPr>
            <w:r w:rsidRPr="009A7CD7">
              <w:rPr>
                <w:color w:val="000000"/>
                <w:sz w:val="22"/>
                <w:szCs w:val="22"/>
              </w:rPr>
              <w:t>6,3528</w:t>
            </w:r>
          </w:p>
        </w:tc>
        <w:tc>
          <w:tcPr>
            <w:tcW w:w="1417" w:type="dxa"/>
            <w:tcBorders>
              <w:top w:val="nil"/>
              <w:left w:val="nil"/>
              <w:bottom w:val="single" w:sz="4" w:space="0" w:color="auto"/>
              <w:right w:val="single" w:sz="4" w:space="0" w:color="auto"/>
            </w:tcBorders>
            <w:noWrap/>
            <w:vAlign w:val="center"/>
            <w:hideMark/>
          </w:tcPr>
          <w:p w14:paraId="57C80299" w14:textId="77777777" w:rsidR="003516BC" w:rsidRPr="009A7CD7" w:rsidRDefault="003516BC" w:rsidP="003516BC">
            <w:pPr>
              <w:jc w:val="center"/>
              <w:rPr>
                <w:color w:val="000000"/>
                <w:sz w:val="22"/>
                <w:szCs w:val="22"/>
              </w:rPr>
            </w:pPr>
            <w:r w:rsidRPr="009A7CD7">
              <w:rPr>
                <w:color w:val="000000"/>
                <w:sz w:val="22"/>
                <w:szCs w:val="22"/>
              </w:rPr>
              <w:t>7,8074</w:t>
            </w:r>
          </w:p>
        </w:tc>
        <w:tc>
          <w:tcPr>
            <w:tcW w:w="1418" w:type="dxa"/>
            <w:tcBorders>
              <w:top w:val="nil"/>
              <w:left w:val="nil"/>
              <w:bottom w:val="single" w:sz="4" w:space="0" w:color="auto"/>
              <w:right w:val="single" w:sz="4" w:space="0" w:color="auto"/>
            </w:tcBorders>
            <w:noWrap/>
            <w:vAlign w:val="bottom"/>
            <w:hideMark/>
          </w:tcPr>
          <w:p w14:paraId="2F188864" w14:textId="77777777" w:rsidR="003516BC" w:rsidRPr="009A7CD7" w:rsidRDefault="003516BC" w:rsidP="00C02D87">
            <w:pPr>
              <w:jc w:val="center"/>
              <w:rPr>
                <w:color w:val="000000"/>
                <w:sz w:val="22"/>
                <w:szCs w:val="22"/>
              </w:rPr>
            </w:pPr>
            <w:r w:rsidRPr="009A7CD7">
              <w:rPr>
                <w:color w:val="000000"/>
                <w:sz w:val="22"/>
                <w:szCs w:val="22"/>
              </w:rPr>
              <w:t>49.727.019</w:t>
            </w:r>
          </w:p>
        </w:tc>
        <w:tc>
          <w:tcPr>
            <w:tcW w:w="1417" w:type="dxa"/>
            <w:tcBorders>
              <w:top w:val="nil"/>
              <w:left w:val="nil"/>
              <w:bottom w:val="single" w:sz="4" w:space="0" w:color="auto"/>
              <w:right w:val="single" w:sz="4" w:space="0" w:color="auto"/>
            </w:tcBorders>
            <w:noWrap/>
            <w:vAlign w:val="bottom"/>
            <w:hideMark/>
          </w:tcPr>
          <w:p w14:paraId="5B3531E1" w14:textId="77777777" w:rsidR="003516BC" w:rsidRPr="009A7CD7" w:rsidRDefault="003516BC" w:rsidP="00C02D87">
            <w:pPr>
              <w:jc w:val="center"/>
              <w:rPr>
                <w:color w:val="000000"/>
                <w:sz w:val="22"/>
                <w:szCs w:val="22"/>
              </w:rPr>
            </w:pPr>
            <w:r w:rsidRPr="009A7CD7">
              <w:rPr>
                <w:color w:val="000000"/>
                <w:sz w:val="22"/>
                <w:szCs w:val="22"/>
              </w:rPr>
              <w:t>50.944.484</w:t>
            </w:r>
          </w:p>
        </w:tc>
        <w:tc>
          <w:tcPr>
            <w:tcW w:w="1418" w:type="dxa"/>
            <w:tcBorders>
              <w:top w:val="nil"/>
              <w:left w:val="nil"/>
              <w:bottom w:val="single" w:sz="4" w:space="0" w:color="auto"/>
              <w:right w:val="single" w:sz="4" w:space="0" w:color="auto"/>
            </w:tcBorders>
            <w:noWrap/>
            <w:vAlign w:val="bottom"/>
            <w:hideMark/>
          </w:tcPr>
          <w:p w14:paraId="22C75E81" w14:textId="77777777" w:rsidR="003516BC" w:rsidRPr="009A7CD7" w:rsidRDefault="003516BC" w:rsidP="00C02D87">
            <w:pPr>
              <w:jc w:val="center"/>
              <w:rPr>
                <w:color w:val="000000"/>
                <w:sz w:val="22"/>
                <w:szCs w:val="22"/>
              </w:rPr>
            </w:pPr>
            <w:r w:rsidRPr="009A7CD7">
              <w:rPr>
                <w:color w:val="000000"/>
                <w:sz w:val="22"/>
                <w:szCs w:val="22"/>
              </w:rPr>
              <w:t>65.235.203</w:t>
            </w:r>
          </w:p>
        </w:tc>
      </w:tr>
      <w:tr w:rsidR="003516BC" w:rsidRPr="009A7CD7" w14:paraId="591F969D" w14:textId="77777777" w:rsidTr="00692AE4">
        <w:trPr>
          <w:trHeight w:val="310"/>
        </w:trPr>
        <w:tc>
          <w:tcPr>
            <w:tcW w:w="1271" w:type="dxa"/>
            <w:tcBorders>
              <w:top w:val="nil"/>
              <w:left w:val="single" w:sz="4" w:space="0" w:color="auto"/>
              <w:bottom w:val="single" w:sz="4" w:space="0" w:color="auto"/>
              <w:right w:val="single" w:sz="4" w:space="0" w:color="auto"/>
            </w:tcBorders>
            <w:noWrap/>
            <w:vAlign w:val="bottom"/>
            <w:hideMark/>
          </w:tcPr>
          <w:p w14:paraId="5B56A92F" w14:textId="77777777" w:rsidR="003516BC" w:rsidRPr="009A7CD7" w:rsidRDefault="003516BC" w:rsidP="00F52C71">
            <w:pPr>
              <w:jc w:val="center"/>
              <w:rPr>
                <w:b/>
                <w:bCs/>
                <w:color w:val="000000"/>
                <w:sz w:val="22"/>
                <w:szCs w:val="22"/>
              </w:rPr>
            </w:pPr>
            <w:r w:rsidRPr="009A7CD7">
              <w:rPr>
                <w:b/>
                <w:bCs/>
                <w:color w:val="000000"/>
                <w:sz w:val="22"/>
                <w:szCs w:val="22"/>
              </w:rPr>
              <w:t>Totale</w:t>
            </w:r>
          </w:p>
        </w:tc>
        <w:tc>
          <w:tcPr>
            <w:tcW w:w="1418" w:type="dxa"/>
            <w:tcBorders>
              <w:top w:val="nil"/>
              <w:left w:val="nil"/>
              <w:bottom w:val="single" w:sz="4" w:space="0" w:color="auto"/>
              <w:right w:val="single" w:sz="4" w:space="0" w:color="auto"/>
            </w:tcBorders>
            <w:noWrap/>
            <w:vAlign w:val="center"/>
            <w:hideMark/>
          </w:tcPr>
          <w:p w14:paraId="26A5644A" w14:textId="77777777" w:rsidR="003516BC" w:rsidRPr="009A7CD7" w:rsidRDefault="003516BC" w:rsidP="003516BC">
            <w:pPr>
              <w:jc w:val="center"/>
              <w:rPr>
                <w:b/>
                <w:bCs/>
                <w:color w:val="000000"/>
                <w:sz w:val="22"/>
                <w:szCs w:val="22"/>
              </w:rPr>
            </w:pPr>
            <w:r w:rsidRPr="009A7CD7">
              <w:rPr>
                <w:b/>
                <w:bCs/>
                <w:color w:val="000000"/>
                <w:sz w:val="22"/>
                <w:szCs w:val="22"/>
              </w:rPr>
              <w:t>100,0000</w:t>
            </w:r>
          </w:p>
        </w:tc>
        <w:tc>
          <w:tcPr>
            <w:tcW w:w="2126" w:type="dxa"/>
            <w:tcBorders>
              <w:top w:val="nil"/>
              <w:left w:val="nil"/>
              <w:bottom w:val="single" w:sz="4" w:space="0" w:color="auto"/>
              <w:right w:val="single" w:sz="4" w:space="0" w:color="auto"/>
            </w:tcBorders>
            <w:noWrap/>
            <w:vAlign w:val="center"/>
            <w:hideMark/>
          </w:tcPr>
          <w:p w14:paraId="32053A28" w14:textId="77777777" w:rsidR="003516BC" w:rsidRPr="009A7CD7" w:rsidRDefault="003516BC" w:rsidP="003516BC">
            <w:pPr>
              <w:jc w:val="center"/>
              <w:rPr>
                <w:b/>
                <w:bCs/>
                <w:color w:val="000000"/>
                <w:sz w:val="22"/>
                <w:szCs w:val="22"/>
              </w:rPr>
            </w:pPr>
            <w:r w:rsidRPr="009A7CD7">
              <w:rPr>
                <w:b/>
                <w:bCs/>
                <w:color w:val="000000"/>
                <w:sz w:val="22"/>
                <w:szCs w:val="22"/>
              </w:rPr>
              <w:t>100,0000</w:t>
            </w:r>
          </w:p>
        </w:tc>
        <w:tc>
          <w:tcPr>
            <w:tcW w:w="1417" w:type="dxa"/>
            <w:tcBorders>
              <w:top w:val="nil"/>
              <w:left w:val="nil"/>
              <w:bottom w:val="single" w:sz="4" w:space="0" w:color="auto"/>
              <w:right w:val="single" w:sz="4" w:space="0" w:color="auto"/>
            </w:tcBorders>
            <w:noWrap/>
            <w:vAlign w:val="center"/>
            <w:hideMark/>
          </w:tcPr>
          <w:p w14:paraId="0D94F11E" w14:textId="77777777" w:rsidR="003516BC" w:rsidRPr="009A7CD7" w:rsidRDefault="003516BC" w:rsidP="003516BC">
            <w:pPr>
              <w:jc w:val="center"/>
              <w:rPr>
                <w:b/>
                <w:bCs/>
                <w:color w:val="000000"/>
                <w:sz w:val="22"/>
                <w:szCs w:val="22"/>
              </w:rPr>
            </w:pPr>
            <w:r w:rsidRPr="009A7CD7">
              <w:rPr>
                <w:b/>
                <w:bCs/>
                <w:color w:val="000000"/>
                <w:sz w:val="22"/>
                <w:szCs w:val="22"/>
              </w:rPr>
              <w:t>100,0000</w:t>
            </w:r>
          </w:p>
        </w:tc>
        <w:tc>
          <w:tcPr>
            <w:tcW w:w="1418" w:type="dxa"/>
            <w:tcBorders>
              <w:top w:val="nil"/>
              <w:left w:val="nil"/>
              <w:bottom w:val="single" w:sz="4" w:space="0" w:color="auto"/>
              <w:right w:val="single" w:sz="4" w:space="0" w:color="auto"/>
            </w:tcBorders>
            <w:noWrap/>
            <w:vAlign w:val="bottom"/>
            <w:hideMark/>
          </w:tcPr>
          <w:p w14:paraId="25F2C48C" w14:textId="77777777" w:rsidR="003516BC" w:rsidRPr="009A7CD7" w:rsidRDefault="003516BC" w:rsidP="00C02D87">
            <w:pPr>
              <w:jc w:val="center"/>
              <w:rPr>
                <w:b/>
                <w:bCs/>
                <w:color w:val="000000"/>
                <w:sz w:val="22"/>
                <w:szCs w:val="22"/>
              </w:rPr>
            </w:pPr>
            <w:r w:rsidRPr="009A7CD7">
              <w:rPr>
                <w:b/>
                <w:bCs/>
                <w:color w:val="000000"/>
                <w:sz w:val="22"/>
                <w:szCs w:val="22"/>
              </w:rPr>
              <w:t>605.115.000</w:t>
            </w:r>
          </w:p>
        </w:tc>
        <w:tc>
          <w:tcPr>
            <w:tcW w:w="1417" w:type="dxa"/>
            <w:tcBorders>
              <w:top w:val="nil"/>
              <w:left w:val="nil"/>
              <w:bottom w:val="single" w:sz="4" w:space="0" w:color="auto"/>
              <w:right w:val="single" w:sz="4" w:space="0" w:color="auto"/>
            </w:tcBorders>
            <w:noWrap/>
            <w:vAlign w:val="bottom"/>
            <w:hideMark/>
          </w:tcPr>
          <w:p w14:paraId="6D6AEE9F" w14:textId="77777777" w:rsidR="003516BC" w:rsidRPr="009A7CD7" w:rsidRDefault="003516BC" w:rsidP="00C02D87">
            <w:pPr>
              <w:jc w:val="center"/>
              <w:rPr>
                <w:b/>
                <w:bCs/>
                <w:color w:val="000000"/>
                <w:sz w:val="22"/>
                <w:szCs w:val="22"/>
              </w:rPr>
            </w:pPr>
            <w:r w:rsidRPr="009A7CD7">
              <w:rPr>
                <w:b/>
                <w:bCs/>
                <w:color w:val="000000"/>
                <w:sz w:val="22"/>
                <w:szCs w:val="22"/>
              </w:rPr>
              <w:t>619.930.000</w:t>
            </w:r>
          </w:p>
        </w:tc>
        <w:tc>
          <w:tcPr>
            <w:tcW w:w="1418" w:type="dxa"/>
            <w:tcBorders>
              <w:top w:val="nil"/>
              <w:left w:val="nil"/>
              <w:bottom w:val="single" w:sz="4" w:space="0" w:color="auto"/>
              <w:right w:val="single" w:sz="4" w:space="0" w:color="auto"/>
            </w:tcBorders>
            <w:noWrap/>
            <w:vAlign w:val="bottom"/>
            <w:hideMark/>
          </w:tcPr>
          <w:p w14:paraId="3A5139B5" w14:textId="77777777" w:rsidR="003516BC" w:rsidRPr="009A7CD7" w:rsidRDefault="003516BC" w:rsidP="00C02D87">
            <w:pPr>
              <w:jc w:val="center"/>
              <w:rPr>
                <w:b/>
                <w:bCs/>
                <w:color w:val="000000"/>
                <w:sz w:val="22"/>
                <w:szCs w:val="22"/>
              </w:rPr>
            </w:pPr>
            <w:r w:rsidRPr="009A7CD7">
              <w:rPr>
                <w:b/>
                <w:bCs/>
                <w:color w:val="000000"/>
                <w:sz w:val="22"/>
                <w:szCs w:val="22"/>
              </w:rPr>
              <w:t>793.830.000</w:t>
            </w:r>
          </w:p>
        </w:tc>
      </w:tr>
      <w:tr w:rsidR="003516BC" w:rsidRPr="009A7CD7" w14:paraId="16FE7D35" w14:textId="77777777" w:rsidTr="00621778">
        <w:trPr>
          <w:trHeight w:val="310"/>
        </w:trPr>
        <w:tc>
          <w:tcPr>
            <w:tcW w:w="10485" w:type="dxa"/>
            <w:gridSpan w:val="7"/>
            <w:tcBorders>
              <w:top w:val="nil"/>
              <w:left w:val="nil"/>
              <w:bottom w:val="nil"/>
              <w:right w:val="nil"/>
            </w:tcBorders>
            <w:noWrap/>
            <w:vAlign w:val="bottom"/>
            <w:hideMark/>
          </w:tcPr>
          <w:p w14:paraId="2BE1F847" w14:textId="7270EF5C" w:rsidR="003516BC" w:rsidRPr="009A7CD7" w:rsidRDefault="00E16B2B" w:rsidP="00B51752">
            <w:pPr>
              <w:jc w:val="both"/>
              <w:rPr>
                <w:b/>
                <w:bCs/>
                <w:color w:val="000000"/>
                <w:sz w:val="20"/>
                <w:szCs w:val="20"/>
              </w:rPr>
            </w:pPr>
            <w:r w:rsidRPr="009A7CD7">
              <w:rPr>
                <w:b/>
                <w:bCs/>
                <w:color w:val="000000"/>
                <w:sz w:val="20"/>
                <w:szCs w:val="20"/>
              </w:rPr>
              <w:t>*</w:t>
            </w:r>
            <w:r w:rsidR="00C02D87" w:rsidRPr="009A7CD7">
              <w:rPr>
                <w:b/>
                <w:bCs/>
                <w:color w:val="000000"/>
                <w:sz w:val="20"/>
                <w:szCs w:val="20"/>
              </w:rPr>
              <w:t>La quota indistinta è ripartita per l’</w:t>
            </w:r>
            <w:r w:rsidR="003516BC" w:rsidRPr="009A7CD7">
              <w:rPr>
                <w:b/>
                <w:bCs/>
                <w:color w:val="000000"/>
                <w:sz w:val="20"/>
                <w:szCs w:val="20"/>
              </w:rPr>
              <w:t xml:space="preserve">80% </w:t>
            </w:r>
            <w:r w:rsidR="00C02D87" w:rsidRPr="009A7CD7">
              <w:rPr>
                <w:b/>
                <w:bCs/>
                <w:color w:val="000000"/>
                <w:sz w:val="20"/>
                <w:szCs w:val="20"/>
              </w:rPr>
              <w:t xml:space="preserve">in base alla </w:t>
            </w:r>
            <w:r w:rsidR="003516BC" w:rsidRPr="009A7CD7">
              <w:rPr>
                <w:b/>
                <w:bCs/>
                <w:color w:val="000000"/>
                <w:sz w:val="20"/>
                <w:szCs w:val="20"/>
              </w:rPr>
              <w:t xml:space="preserve">popolazione over 75 (fonte ISTAT), </w:t>
            </w:r>
            <w:r w:rsidR="00C02D87" w:rsidRPr="009A7CD7">
              <w:rPr>
                <w:b/>
                <w:bCs/>
                <w:color w:val="000000"/>
                <w:sz w:val="20"/>
                <w:szCs w:val="20"/>
              </w:rPr>
              <w:t xml:space="preserve">per il </w:t>
            </w:r>
            <w:r w:rsidR="003516BC" w:rsidRPr="009A7CD7">
              <w:rPr>
                <w:b/>
                <w:bCs/>
                <w:color w:val="000000"/>
                <w:sz w:val="20"/>
                <w:szCs w:val="20"/>
              </w:rPr>
              <w:t xml:space="preserve">10% </w:t>
            </w:r>
            <w:r w:rsidR="00C02D87" w:rsidRPr="009A7CD7">
              <w:rPr>
                <w:b/>
                <w:bCs/>
                <w:color w:val="000000"/>
                <w:sz w:val="20"/>
                <w:szCs w:val="20"/>
              </w:rPr>
              <w:t xml:space="preserve">in base alle </w:t>
            </w:r>
            <w:r w:rsidR="003516BC" w:rsidRPr="009A7CD7">
              <w:rPr>
                <w:b/>
                <w:bCs/>
                <w:color w:val="000000"/>
                <w:sz w:val="20"/>
                <w:szCs w:val="20"/>
              </w:rPr>
              <w:t>indennità di accompagnamento (fonte INPS)</w:t>
            </w:r>
            <w:r w:rsidR="00C02D87" w:rsidRPr="009A7CD7">
              <w:rPr>
                <w:b/>
                <w:bCs/>
                <w:color w:val="000000"/>
                <w:sz w:val="20"/>
                <w:szCs w:val="20"/>
              </w:rPr>
              <w:t xml:space="preserve"> e per il </w:t>
            </w:r>
            <w:r w:rsidR="003516BC" w:rsidRPr="009A7CD7">
              <w:rPr>
                <w:b/>
                <w:bCs/>
                <w:color w:val="000000"/>
                <w:sz w:val="20"/>
                <w:szCs w:val="20"/>
              </w:rPr>
              <w:t xml:space="preserve">10% </w:t>
            </w:r>
            <w:r w:rsidR="00C02D87" w:rsidRPr="009A7CD7">
              <w:rPr>
                <w:b/>
                <w:bCs/>
                <w:color w:val="000000"/>
                <w:sz w:val="20"/>
                <w:szCs w:val="20"/>
              </w:rPr>
              <w:t>in base alle certificazioni rilasciate ai sensi dell’</w:t>
            </w:r>
            <w:r w:rsidR="003516BC" w:rsidRPr="009A7CD7">
              <w:rPr>
                <w:b/>
                <w:bCs/>
                <w:color w:val="000000"/>
                <w:sz w:val="20"/>
                <w:szCs w:val="20"/>
              </w:rPr>
              <w:t xml:space="preserve">articolo 3, comma </w:t>
            </w:r>
            <w:r w:rsidR="00FF4F23" w:rsidRPr="009A7CD7">
              <w:rPr>
                <w:b/>
                <w:bCs/>
                <w:color w:val="000000"/>
                <w:sz w:val="20"/>
                <w:szCs w:val="20"/>
              </w:rPr>
              <w:t>3,</w:t>
            </w:r>
            <w:r w:rsidR="003516BC" w:rsidRPr="009A7CD7">
              <w:rPr>
                <w:b/>
                <w:bCs/>
                <w:color w:val="000000"/>
                <w:sz w:val="20"/>
                <w:szCs w:val="20"/>
              </w:rPr>
              <w:t xml:space="preserve"> </w:t>
            </w:r>
            <w:r w:rsidR="00C02D87" w:rsidRPr="009A7CD7">
              <w:rPr>
                <w:b/>
                <w:bCs/>
                <w:color w:val="000000"/>
                <w:sz w:val="20"/>
                <w:szCs w:val="20"/>
              </w:rPr>
              <w:t xml:space="preserve">della </w:t>
            </w:r>
            <w:r w:rsidR="003516BC" w:rsidRPr="009A7CD7">
              <w:rPr>
                <w:b/>
                <w:bCs/>
                <w:color w:val="000000"/>
                <w:sz w:val="20"/>
                <w:szCs w:val="20"/>
              </w:rPr>
              <w:t xml:space="preserve">legge </w:t>
            </w:r>
            <w:r w:rsidR="00C02D87" w:rsidRPr="009A7CD7">
              <w:rPr>
                <w:b/>
                <w:bCs/>
                <w:color w:val="000000"/>
                <w:sz w:val="20"/>
                <w:szCs w:val="20"/>
              </w:rPr>
              <w:t xml:space="preserve">n. </w:t>
            </w:r>
            <w:r w:rsidR="003516BC" w:rsidRPr="009A7CD7">
              <w:rPr>
                <w:b/>
                <w:bCs/>
                <w:color w:val="000000"/>
                <w:sz w:val="20"/>
                <w:szCs w:val="20"/>
              </w:rPr>
              <w:t>104/1992 (fonte INPS)</w:t>
            </w:r>
          </w:p>
        </w:tc>
      </w:tr>
    </w:tbl>
    <w:p w14:paraId="37D687D9" w14:textId="77777777" w:rsidR="00777BDD" w:rsidRPr="009A7CD7" w:rsidRDefault="00777BDD">
      <w:pPr>
        <w:spacing w:after="160" w:line="259" w:lineRule="auto"/>
      </w:pPr>
    </w:p>
    <w:p w14:paraId="59175F53" w14:textId="56CE2BA5" w:rsidR="00AF707C" w:rsidRPr="009A7CD7" w:rsidRDefault="00AF61B9" w:rsidP="00AF61B9">
      <w:pPr>
        <w:spacing w:after="160" w:line="259" w:lineRule="auto"/>
        <w:rPr>
          <w:rFonts w:eastAsia="Calibri"/>
          <w:shd w:val="clear" w:color="auto" w:fill="FFFFFF"/>
        </w:rPr>
      </w:pPr>
      <w:r w:rsidRPr="009A7CD7">
        <w:rPr>
          <w:rFonts w:eastAsia="Calibri"/>
          <w:shd w:val="clear" w:color="auto" w:fill="FFFFFF"/>
        </w:rPr>
        <w:br w:type="page"/>
      </w:r>
    </w:p>
    <w:tbl>
      <w:tblPr>
        <w:tblW w:w="10060" w:type="dxa"/>
        <w:jc w:val="center"/>
        <w:tblCellMar>
          <w:left w:w="70" w:type="dxa"/>
          <w:right w:w="70" w:type="dxa"/>
        </w:tblCellMar>
        <w:tblLook w:val="04A0" w:firstRow="1" w:lastRow="0" w:firstColumn="1" w:lastColumn="0" w:noHBand="0" w:noVBand="1"/>
      </w:tblPr>
      <w:tblGrid>
        <w:gridCol w:w="2900"/>
        <w:gridCol w:w="2057"/>
        <w:gridCol w:w="2268"/>
        <w:gridCol w:w="2835"/>
      </w:tblGrid>
      <w:tr w:rsidR="00C46590" w:rsidRPr="009A7CD7" w14:paraId="60FFA6F6" w14:textId="77777777" w:rsidTr="00826533">
        <w:trPr>
          <w:trHeight w:val="426"/>
          <w:jc w:val="center"/>
        </w:trPr>
        <w:tc>
          <w:tcPr>
            <w:tcW w:w="10060" w:type="dxa"/>
            <w:gridSpan w:val="4"/>
            <w:tcBorders>
              <w:top w:val="single" w:sz="4" w:space="0" w:color="auto"/>
              <w:left w:val="single" w:sz="4" w:space="0" w:color="auto"/>
              <w:bottom w:val="single" w:sz="4" w:space="0" w:color="auto"/>
              <w:right w:val="single" w:sz="4" w:space="0" w:color="auto"/>
            </w:tcBorders>
            <w:noWrap/>
            <w:vAlign w:val="center"/>
          </w:tcPr>
          <w:p w14:paraId="4A2276EA" w14:textId="77777777" w:rsidR="000C5209" w:rsidRPr="009A7CD7" w:rsidRDefault="00B0216D" w:rsidP="00C46590">
            <w:pPr>
              <w:jc w:val="center"/>
              <w:rPr>
                <w:b/>
                <w:bCs/>
                <w:color w:val="000000"/>
              </w:rPr>
            </w:pPr>
            <w:r w:rsidRPr="009A7CD7">
              <w:rPr>
                <w:b/>
                <w:bCs/>
                <w:color w:val="000000"/>
              </w:rPr>
              <w:lastRenderedPageBreak/>
              <w:t>Tabella 2</w:t>
            </w:r>
          </w:p>
          <w:p w14:paraId="76A98927" w14:textId="1BF10EC0" w:rsidR="00C46590" w:rsidRPr="009A7CD7" w:rsidRDefault="00975C3A" w:rsidP="00C46590">
            <w:pPr>
              <w:jc w:val="center"/>
              <w:rPr>
                <w:b/>
                <w:bCs/>
                <w:color w:val="000000"/>
              </w:rPr>
            </w:pPr>
            <w:r w:rsidRPr="009A7CD7">
              <w:rPr>
                <w:b/>
                <w:bCs/>
                <w:color w:val="000000"/>
              </w:rPr>
              <w:t xml:space="preserve">Risorse trasferite a titolo di </w:t>
            </w:r>
            <w:r w:rsidR="00B0216D" w:rsidRPr="009A7CD7">
              <w:rPr>
                <w:b/>
                <w:bCs/>
                <w:color w:val="000000"/>
              </w:rPr>
              <w:t>compensazion</w:t>
            </w:r>
            <w:r w:rsidR="008357B9" w:rsidRPr="009A7CD7">
              <w:rPr>
                <w:b/>
                <w:bCs/>
                <w:color w:val="000000"/>
              </w:rPr>
              <w:t>e per la continuità degli interventi</w:t>
            </w:r>
            <w:r w:rsidR="00091E80" w:rsidRPr="009A7CD7">
              <w:rPr>
                <w:b/>
                <w:bCs/>
                <w:color w:val="000000"/>
              </w:rPr>
              <w:t>*</w:t>
            </w:r>
          </w:p>
        </w:tc>
      </w:tr>
      <w:tr w:rsidR="00C46590" w:rsidRPr="009A7CD7" w14:paraId="1247F546" w14:textId="77777777" w:rsidTr="00182CC8">
        <w:trPr>
          <w:trHeight w:val="948"/>
          <w:jc w:val="center"/>
        </w:trPr>
        <w:tc>
          <w:tcPr>
            <w:tcW w:w="2900" w:type="dxa"/>
            <w:tcBorders>
              <w:top w:val="single" w:sz="4" w:space="0" w:color="auto"/>
              <w:left w:val="single" w:sz="4" w:space="0" w:color="auto"/>
              <w:bottom w:val="single" w:sz="4" w:space="0" w:color="auto"/>
              <w:right w:val="single" w:sz="4" w:space="0" w:color="auto"/>
            </w:tcBorders>
            <w:noWrap/>
            <w:vAlign w:val="center"/>
          </w:tcPr>
          <w:p w14:paraId="3E3B52AD" w14:textId="7B39C957" w:rsidR="00C46590" w:rsidRPr="009A7CD7" w:rsidRDefault="00C46590" w:rsidP="00C46590">
            <w:pPr>
              <w:jc w:val="center"/>
              <w:rPr>
                <w:b/>
                <w:bCs/>
                <w:color w:val="000000"/>
                <w:sz w:val="22"/>
                <w:szCs w:val="22"/>
              </w:rPr>
            </w:pPr>
            <w:r w:rsidRPr="009A7CD7">
              <w:rPr>
                <w:b/>
                <w:bCs/>
                <w:color w:val="000000"/>
                <w:sz w:val="22"/>
                <w:szCs w:val="22"/>
              </w:rPr>
              <w:t>Regioni</w:t>
            </w:r>
          </w:p>
        </w:tc>
        <w:tc>
          <w:tcPr>
            <w:tcW w:w="2057" w:type="dxa"/>
            <w:tcBorders>
              <w:top w:val="single" w:sz="4" w:space="0" w:color="auto"/>
              <w:left w:val="single" w:sz="4" w:space="0" w:color="auto"/>
              <w:bottom w:val="single" w:sz="4" w:space="0" w:color="auto"/>
              <w:right w:val="single" w:sz="4" w:space="0" w:color="auto"/>
            </w:tcBorders>
            <w:noWrap/>
            <w:vAlign w:val="center"/>
          </w:tcPr>
          <w:p w14:paraId="37354F6F" w14:textId="77777777" w:rsidR="009224CF" w:rsidRPr="009A7CD7" w:rsidRDefault="00283034" w:rsidP="009224CF">
            <w:pPr>
              <w:jc w:val="center"/>
              <w:rPr>
                <w:b/>
                <w:bCs/>
                <w:color w:val="000000"/>
                <w:sz w:val="22"/>
                <w:szCs w:val="22"/>
              </w:rPr>
            </w:pPr>
            <w:r w:rsidRPr="009A7CD7">
              <w:rPr>
                <w:b/>
                <w:bCs/>
                <w:color w:val="000000"/>
                <w:sz w:val="22"/>
                <w:szCs w:val="22"/>
              </w:rPr>
              <w:t xml:space="preserve">Risorse assegnate per l’anno </w:t>
            </w:r>
            <w:r w:rsidR="00C46590" w:rsidRPr="009A7CD7">
              <w:rPr>
                <w:b/>
                <w:bCs/>
                <w:color w:val="000000"/>
                <w:sz w:val="22"/>
                <w:szCs w:val="22"/>
              </w:rPr>
              <w:t>2024</w:t>
            </w:r>
          </w:p>
          <w:p w14:paraId="04DF9E41" w14:textId="10D4A353" w:rsidR="00C46590" w:rsidRPr="009A7CD7" w:rsidRDefault="009224CF" w:rsidP="009224CF">
            <w:pPr>
              <w:jc w:val="center"/>
              <w:rPr>
                <w:b/>
                <w:bCs/>
                <w:color w:val="000000"/>
                <w:sz w:val="22"/>
                <w:szCs w:val="22"/>
              </w:rPr>
            </w:pPr>
            <w:r w:rsidRPr="009A7CD7">
              <w:rPr>
                <w:b/>
                <w:bCs/>
                <w:color w:val="000000"/>
                <w:sz w:val="22"/>
                <w:szCs w:val="22"/>
              </w:rPr>
              <w:t xml:space="preserve">(al netto delle risorse per PUA e </w:t>
            </w:r>
            <w:r w:rsidR="00836176">
              <w:rPr>
                <w:b/>
                <w:bCs/>
                <w:color w:val="000000"/>
                <w:sz w:val="22"/>
                <w:szCs w:val="22"/>
              </w:rPr>
              <w:t>v</w:t>
            </w:r>
            <w:r w:rsidRPr="009A7CD7">
              <w:rPr>
                <w:b/>
                <w:bCs/>
                <w:color w:val="000000"/>
                <w:sz w:val="22"/>
                <w:szCs w:val="22"/>
              </w:rPr>
              <w:t>ita indipendente)</w:t>
            </w:r>
          </w:p>
        </w:tc>
        <w:tc>
          <w:tcPr>
            <w:tcW w:w="5103" w:type="dxa"/>
            <w:gridSpan w:val="2"/>
            <w:tcBorders>
              <w:top w:val="single" w:sz="4" w:space="0" w:color="auto"/>
              <w:left w:val="nil"/>
              <w:bottom w:val="single" w:sz="4" w:space="0" w:color="auto"/>
              <w:right w:val="single" w:sz="4" w:space="0" w:color="auto"/>
            </w:tcBorders>
            <w:vAlign w:val="center"/>
          </w:tcPr>
          <w:p w14:paraId="11C6CA34" w14:textId="117E7836" w:rsidR="00C46590" w:rsidRPr="009A7CD7" w:rsidRDefault="00E519E9" w:rsidP="00C46590">
            <w:pPr>
              <w:jc w:val="center"/>
              <w:rPr>
                <w:b/>
                <w:bCs/>
                <w:color w:val="000000"/>
                <w:sz w:val="22"/>
                <w:szCs w:val="22"/>
              </w:rPr>
            </w:pPr>
            <w:r w:rsidRPr="009A7CD7">
              <w:rPr>
                <w:b/>
                <w:bCs/>
                <w:color w:val="000000"/>
                <w:sz w:val="22"/>
                <w:szCs w:val="22"/>
              </w:rPr>
              <w:t>I</w:t>
            </w:r>
            <w:r w:rsidR="00C46590" w:rsidRPr="009A7CD7">
              <w:rPr>
                <w:b/>
                <w:bCs/>
                <w:color w:val="000000"/>
                <w:sz w:val="22"/>
                <w:szCs w:val="22"/>
              </w:rPr>
              <w:t xml:space="preserve">mporti </w:t>
            </w:r>
            <w:r w:rsidRPr="009A7CD7">
              <w:rPr>
                <w:b/>
                <w:bCs/>
                <w:color w:val="000000"/>
                <w:sz w:val="22"/>
                <w:szCs w:val="22"/>
              </w:rPr>
              <w:t xml:space="preserve">da </w:t>
            </w:r>
            <w:r w:rsidR="00200CB7" w:rsidRPr="009A7CD7">
              <w:rPr>
                <w:b/>
                <w:bCs/>
                <w:color w:val="000000"/>
                <w:sz w:val="22"/>
                <w:szCs w:val="22"/>
              </w:rPr>
              <w:t xml:space="preserve">attribuire per garantire il livello di </w:t>
            </w:r>
            <w:r w:rsidR="00C46590" w:rsidRPr="009A7CD7">
              <w:rPr>
                <w:b/>
                <w:bCs/>
                <w:color w:val="000000"/>
                <w:sz w:val="22"/>
                <w:szCs w:val="22"/>
              </w:rPr>
              <w:t xml:space="preserve">finanziamento </w:t>
            </w:r>
            <w:r w:rsidR="00826533" w:rsidRPr="009A7CD7">
              <w:rPr>
                <w:b/>
                <w:bCs/>
                <w:color w:val="000000"/>
                <w:sz w:val="22"/>
                <w:szCs w:val="22"/>
              </w:rPr>
              <w:t>dell’anno</w:t>
            </w:r>
            <w:r w:rsidR="00832511" w:rsidRPr="009A7CD7">
              <w:rPr>
                <w:b/>
                <w:bCs/>
                <w:color w:val="000000"/>
                <w:sz w:val="22"/>
                <w:szCs w:val="22"/>
              </w:rPr>
              <w:t xml:space="preserve"> </w:t>
            </w:r>
            <w:r w:rsidR="00C46590" w:rsidRPr="009A7CD7">
              <w:rPr>
                <w:b/>
                <w:bCs/>
                <w:color w:val="000000"/>
                <w:sz w:val="22"/>
                <w:szCs w:val="22"/>
              </w:rPr>
              <w:t>2024</w:t>
            </w:r>
          </w:p>
        </w:tc>
      </w:tr>
      <w:tr w:rsidR="00D03D87" w:rsidRPr="009A7CD7" w14:paraId="7A63BD28" w14:textId="77777777" w:rsidTr="00826533">
        <w:trPr>
          <w:trHeight w:val="283"/>
          <w:jc w:val="center"/>
        </w:trPr>
        <w:tc>
          <w:tcPr>
            <w:tcW w:w="2900" w:type="dxa"/>
            <w:vMerge w:val="restart"/>
            <w:tcBorders>
              <w:top w:val="single" w:sz="4" w:space="0" w:color="auto"/>
              <w:left w:val="single" w:sz="4" w:space="0" w:color="auto"/>
              <w:bottom w:val="single" w:sz="4" w:space="0" w:color="auto"/>
              <w:right w:val="single" w:sz="4" w:space="0" w:color="auto"/>
            </w:tcBorders>
            <w:vAlign w:val="center"/>
            <w:hideMark/>
          </w:tcPr>
          <w:p w14:paraId="141CE8A2" w14:textId="77777777" w:rsidR="00D03D87" w:rsidRPr="009A7CD7" w:rsidRDefault="00D03D87" w:rsidP="006E1DA8">
            <w:pPr>
              <w:rPr>
                <w:b/>
                <w:bCs/>
                <w:color w:val="000000"/>
                <w:sz w:val="22"/>
                <w:szCs w:val="22"/>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34155057" w14:textId="77777777" w:rsidR="00D03D87" w:rsidRPr="009A7CD7" w:rsidRDefault="00D03D87">
            <w:pPr>
              <w:rPr>
                <w:b/>
                <w:bCs/>
                <w:color w:val="000000"/>
                <w:sz w:val="22"/>
                <w:szCs w:val="22"/>
              </w:rPr>
            </w:pPr>
          </w:p>
        </w:tc>
        <w:tc>
          <w:tcPr>
            <w:tcW w:w="2268" w:type="dxa"/>
            <w:tcBorders>
              <w:top w:val="nil"/>
              <w:left w:val="nil"/>
              <w:bottom w:val="single" w:sz="4" w:space="0" w:color="auto"/>
              <w:right w:val="single" w:sz="4" w:space="0" w:color="auto"/>
            </w:tcBorders>
            <w:noWrap/>
            <w:vAlign w:val="center"/>
            <w:hideMark/>
          </w:tcPr>
          <w:p w14:paraId="30B7EA01" w14:textId="77777777" w:rsidR="00D03D87" w:rsidRPr="009A7CD7" w:rsidRDefault="00D03D87">
            <w:pPr>
              <w:jc w:val="center"/>
              <w:rPr>
                <w:b/>
                <w:bCs/>
                <w:color w:val="000000"/>
                <w:sz w:val="22"/>
                <w:szCs w:val="22"/>
              </w:rPr>
            </w:pPr>
            <w:r w:rsidRPr="009A7CD7">
              <w:rPr>
                <w:b/>
                <w:bCs/>
                <w:color w:val="000000"/>
                <w:sz w:val="22"/>
                <w:szCs w:val="22"/>
              </w:rPr>
              <w:t>2025</w:t>
            </w:r>
          </w:p>
        </w:tc>
        <w:tc>
          <w:tcPr>
            <w:tcW w:w="2835" w:type="dxa"/>
            <w:tcBorders>
              <w:top w:val="nil"/>
              <w:left w:val="nil"/>
              <w:bottom w:val="single" w:sz="4" w:space="0" w:color="auto"/>
              <w:right w:val="single" w:sz="4" w:space="0" w:color="auto"/>
            </w:tcBorders>
            <w:noWrap/>
            <w:vAlign w:val="center"/>
            <w:hideMark/>
          </w:tcPr>
          <w:p w14:paraId="1A98FE62" w14:textId="77777777" w:rsidR="00D03D87" w:rsidRPr="009A7CD7" w:rsidRDefault="00D03D87">
            <w:pPr>
              <w:jc w:val="center"/>
              <w:rPr>
                <w:b/>
                <w:bCs/>
                <w:color w:val="000000"/>
                <w:sz w:val="22"/>
                <w:szCs w:val="22"/>
              </w:rPr>
            </w:pPr>
            <w:r w:rsidRPr="009A7CD7">
              <w:rPr>
                <w:b/>
                <w:bCs/>
                <w:color w:val="000000"/>
                <w:sz w:val="22"/>
                <w:szCs w:val="22"/>
              </w:rPr>
              <w:t>2026</w:t>
            </w:r>
          </w:p>
        </w:tc>
      </w:tr>
      <w:tr w:rsidR="00D03D87" w:rsidRPr="009A7CD7" w14:paraId="2D0E9798" w14:textId="77777777" w:rsidTr="00354918">
        <w:trPr>
          <w:trHeight w:val="145"/>
          <w:jc w:val="center"/>
        </w:trPr>
        <w:tc>
          <w:tcPr>
            <w:tcW w:w="2900" w:type="dxa"/>
            <w:vMerge/>
            <w:tcBorders>
              <w:top w:val="single" w:sz="4" w:space="0" w:color="auto"/>
              <w:left w:val="single" w:sz="4" w:space="0" w:color="auto"/>
              <w:bottom w:val="single" w:sz="4" w:space="0" w:color="auto"/>
              <w:right w:val="single" w:sz="4" w:space="0" w:color="auto"/>
            </w:tcBorders>
            <w:vAlign w:val="center"/>
            <w:hideMark/>
          </w:tcPr>
          <w:p w14:paraId="5F5C9347" w14:textId="77777777" w:rsidR="00D03D87" w:rsidRPr="009A7CD7" w:rsidRDefault="00D03D87" w:rsidP="006E1DA8">
            <w:pPr>
              <w:rPr>
                <w:b/>
                <w:bCs/>
                <w:color w:val="000000"/>
                <w:sz w:val="22"/>
                <w:szCs w:val="22"/>
              </w:rPr>
            </w:pPr>
          </w:p>
        </w:tc>
        <w:tc>
          <w:tcPr>
            <w:tcW w:w="2057" w:type="dxa"/>
            <w:tcBorders>
              <w:top w:val="nil"/>
              <w:left w:val="nil"/>
              <w:bottom w:val="single" w:sz="4" w:space="0" w:color="auto"/>
              <w:right w:val="single" w:sz="4" w:space="0" w:color="auto"/>
            </w:tcBorders>
            <w:noWrap/>
            <w:vAlign w:val="center"/>
            <w:hideMark/>
          </w:tcPr>
          <w:p w14:paraId="7D8AEC6C" w14:textId="114F8770" w:rsidR="00D03D87" w:rsidRPr="009A7CD7" w:rsidRDefault="00283034">
            <w:pPr>
              <w:jc w:val="center"/>
              <w:rPr>
                <w:b/>
                <w:bCs/>
                <w:color w:val="000000"/>
                <w:sz w:val="22"/>
                <w:szCs w:val="22"/>
              </w:rPr>
            </w:pPr>
            <w:r w:rsidRPr="009A7CD7">
              <w:rPr>
                <w:b/>
                <w:bCs/>
                <w:color w:val="000000"/>
                <w:sz w:val="22"/>
                <w:szCs w:val="22"/>
              </w:rPr>
              <w:t>Euro</w:t>
            </w:r>
          </w:p>
        </w:tc>
        <w:tc>
          <w:tcPr>
            <w:tcW w:w="2268" w:type="dxa"/>
            <w:tcBorders>
              <w:top w:val="nil"/>
              <w:left w:val="nil"/>
              <w:bottom w:val="single" w:sz="4" w:space="0" w:color="auto"/>
              <w:right w:val="single" w:sz="4" w:space="0" w:color="auto"/>
            </w:tcBorders>
            <w:vAlign w:val="center"/>
            <w:hideMark/>
          </w:tcPr>
          <w:p w14:paraId="559CDF13" w14:textId="593120CD" w:rsidR="00D03D87" w:rsidRPr="009A7CD7" w:rsidRDefault="00283034">
            <w:pPr>
              <w:jc w:val="center"/>
              <w:rPr>
                <w:b/>
                <w:bCs/>
                <w:color w:val="000000"/>
                <w:sz w:val="22"/>
                <w:szCs w:val="22"/>
              </w:rPr>
            </w:pPr>
            <w:r w:rsidRPr="009A7CD7">
              <w:rPr>
                <w:b/>
                <w:bCs/>
                <w:color w:val="000000"/>
                <w:sz w:val="22"/>
                <w:szCs w:val="22"/>
              </w:rPr>
              <w:t>Euro</w:t>
            </w:r>
          </w:p>
        </w:tc>
        <w:tc>
          <w:tcPr>
            <w:tcW w:w="2835" w:type="dxa"/>
            <w:tcBorders>
              <w:top w:val="nil"/>
              <w:left w:val="nil"/>
              <w:bottom w:val="single" w:sz="4" w:space="0" w:color="auto"/>
              <w:right w:val="single" w:sz="4" w:space="0" w:color="auto"/>
            </w:tcBorders>
            <w:vAlign w:val="center"/>
            <w:hideMark/>
          </w:tcPr>
          <w:p w14:paraId="7E26AED8" w14:textId="26944DFB" w:rsidR="00D03D87" w:rsidRPr="009A7CD7" w:rsidRDefault="00283034">
            <w:pPr>
              <w:jc w:val="center"/>
              <w:rPr>
                <w:b/>
                <w:bCs/>
                <w:color w:val="000000"/>
                <w:sz w:val="22"/>
                <w:szCs w:val="22"/>
              </w:rPr>
            </w:pPr>
            <w:r w:rsidRPr="009A7CD7">
              <w:rPr>
                <w:b/>
                <w:bCs/>
                <w:color w:val="000000"/>
                <w:sz w:val="22"/>
                <w:szCs w:val="22"/>
              </w:rPr>
              <w:t>Euro</w:t>
            </w:r>
          </w:p>
        </w:tc>
      </w:tr>
      <w:tr w:rsidR="00D03D87" w:rsidRPr="009A7CD7" w14:paraId="16C7C855" w14:textId="77777777" w:rsidTr="00182CC8">
        <w:trPr>
          <w:trHeight w:val="310"/>
          <w:jc w:val="center"/>
        </w:trPr>
        <w:tc>
          <w:tcPr>
            <w:tcW w:w="2900" w:type="dxa"/>
            <w:tcBorders>
              <w:top w:val="nil"/>
              <w:left w:val="single" w:sz="4" w:space="0" w:color="auto"/>
              <w:bottom w:val="single" w:sz="4" w:space="0" w:color="auto"/>
              <w:right w:val="single" w:sz="4" w:space="0" w:color="auto"/>
            </w:tcBorders>
            <w:noWrap/>
            <w:vAlign w:val="bottom"/>
            <w:hideMark/>
          </w:tcPr>
          <w:p w14:paraId="23DA7744" w14:textId="77777777" w:rsidR="00D03D87" w:rsidRPr="009A7CD7" w:rsidRDefault="00D03D87" w:rsidP="006E1DA8">
            <w:pPr>
              <w:rPr>
                <w:color w:val="000000"/>
                <w:sz w:val="22"/>
                <w:szCs w:val="22"/>
              </w:rPr>
            </w:pPr>
            <w:r w:rsidRPr="009A7CD7">
              <w:rPr>
                <w:color w:val="000000"/>
                <w:sz w:val="22"/>
                <w:szCs w:val="22"/>
              </w:rPr>
              <w:t>Abruzzo</w:t>
            </w:r>
          </w:p>
        </w:tc>
        <w:tc>
          <w:tcPr>
            <w:tcW w:w="2057" w:type="dxa"/>
            <w:tcBorders>
              <w:top w:val="nil"/>
              <w:left w:val="nil"/>
              <w:bottom w:val="single" w:sz="4" w:space="0" w:color="auto"/>
              <w:right w:val="single" w:sz="4" w:space="0" w:color="auto"/>
            </w:tcBorders>
            <w:noWrap/>
            <w:vAlign w:val="bottom"/>
            <w:hideMark/>
          </w:tcPr>
          <w:p w14:paraId="0F1E2567" w14:textId="77777777" w:rsidR="00D03D87" w:rsidRPr="009A7CD7" w:rsidRDefault="00D03D87" w:rsidP="006E1DA8">
            <w:pPr>
              <w:jc w:val="center"/>
              <w:rPr>
                <w:color w:val="000000"/>
                <w:sz w:val="22"/>
                <w:szCs w:val="22"/>
              </w:rPr>
            </w:pPr>
            <w:r w:rsidRPr="009A7CD7">
              <w:rPr>
                <w:color w:val="000000"/>
                <w:sz w:val="22"/>
                <w:szCs w:val="22"/>
              </w:rPr>
              <w:t>20.120.000</w:t>
            </w:r>
          </w:p>
        </w:tc>
        <w:tc>
          <w:tcPr>
            <w:tcW w:w="2268" w:type="dxa"/>
            <w:tcBorders>
              <w:top w:val="nil"/>
              <w:left w:val="nil"/>
              <w:bottom w:val="single" w:sz="4" w:space="0" w:color="auto"/>
              <w:right w:val="single" w:sz="4" w:space="0" w:color="auto"/>
            </w:tcBorders>
            <w:noWrap/>
            <w:vAlign w:val="bottom"/>
            <w:hideMark/>
          </w:tcPr>
          <w:p w14:paraId="128D8EA7" w14:textId="14EB6145" w:rsidR="00D03D87" w:rsidRPr="009A7CD7" w:rsidRDefault="00826533" w:rsidP="006E1DA8">
            <w:pPr>
              <w:jc w:val="center"/>
              <w:rPr>
                <w:color w:val="000000"/>
                <w:sz w:val="22"/>
                <w:szCs w:val="22"/>
              </w:rPr>
            </w:pPr>
            <w:r w:rsidRPr="009A7CD7">
              <w:rPr>
                <w:color w:val="000000"/>
                <w:sz w:val="22"/>
                <w:szCs w:val="22"/>
              </w:rPr>
              <w:t xml:space="preserve">+ </w:t>
            </w:r>
            <w:r w:rsidR="00D03D87" w:rsidRPr="009A7CD7">
              <w:rPr>
                <w:color w:val="000000"/>
                <w:sz w:val="22"/>
                <w:szCs w:val="22"/>
              </w:rPr>
              <w:t>903.028</w:t>
            </w:r>
          </w:p>
        </w:tc>
        <w:tc>
          <w:tcPr>
            <w:tcW w:w="2835" w:type="dxa"/>
            <w:tcBorders>
              <w:top w:val="nil"/>
              <w:left w:val="nil"/>
              <w:bottom w:val="single" w:sz="4" w:space="0" w:color="auto"/>
              <w:right w:val="single" w:sz="4" w:space="0" w:color="auto"/>
            </w:tcBorders>
            <w:noWrap/>
            <w:vAlign w:val="bottom"/>
            <w:hideMark/>
          </w:tcPr>
          <w:p w14:paraId="5BA652EA" w14:textId="7FFE5365" w:rsidR="00D03D87" w:rsidRPr="009A7CD7" w:rsidRDefault="00200CB7" w:rsidP="006E1DA8">
            <w:pPr>
              <w:jc w:val="center"/>
              <w:rPr>
                <w:color w:val="000000"/>
                <w:sz w:val="22"/>
                <w:szCs w:val="22"/>
              </w:rPr>
            </w:pPr>
            <w:r w:rsidRPr="009A7CD7">
              <w:rPr>
                <w:color w:val="000000"/>
                <w:sz w:val="22"/>
                <w:szCs w:val="22"/>
              </w:rPr>
              <w:t>+</w:t>
            </w:r>
            <w:r w:rsidR="00E519E9" w:rsidRPr="009A7CD7">
              <w:rPr>
                <w:color w:val="000000"/>
                <w:sz w:val="22"/>
                <w:szCs w:val="22"/>
              </w:rPr>
              <w:t xml:space="preserve"> </w:t>
            </w:r>
            <w:r w:rsidR="00D03D87" w:rsidRPr="009A7CD7">
              <w:rPr>
                <w:color w:val="000000"/>
                <w:sz w:val="22"/>
                <w:szCs w:val="22"/>
              </w:rPr>
              <w:t>572.706</w:t>
            </w:r>
          </w:p>
        </w:tc>
      </w:tr>
      <w:tr w:rsidR="00D03D87" w:rsidRPr="009A7CD7" w14:paraId="2967B193" w14:textId="77777777" w:rsidTr="00182CC8">
        <w:trPr>
          <w:trHeight w:val="310"/>
          <w:jc w:val="center"/>
        </w:trPr>
        <w:tc>
          <w:tcPr>
            <w:tcW w:w="2900" w:type="dxa"/>
            <w:tcBorders>
              <w:top w:val="nil"/>
              <w:left w:val="single" w:sz="4" w:space="0" w:color="auto"/>
              <w:bottom w:val="single" w:sz="4" w:space="0" w:color="auto"/>
              <w:right w:val="single" w:sz="4" w:space="0" w:color="auto"/>
            </w:tcBorders>
            <w:noWrap/>
            <w:vAlign w:val="bottom"/>
            <w:hideMark/>
          </w:tcPr>
          <w:p w14:paraId="095D18E2" w14:textId="77777777" w:rsidR="00D03D87" w:rsidRPr="009A7CD7" w:rsidRDefault="00D03D87" w:rsidP="006E1DA8">
            <w:pPr>
              <w:rPr>
                <w:color w:val="000000"/>
                <w:sz w:val="22"/>
                <w:szCs w:val="22"/>
              </w:rPr>
            </w:pPr>
            <w:r w:rsidRPr="009A7CD7">
              <w:rPr>
                <w:color w:val="000000"/>
                <w:sz w:val="22"/>
                <w:szCs w:val="22"/>
              </w:rPr>
              <w:t>Basilicata</w:t>
            </w:r>
          </w:p>
        </w:tc>
        <w:tc>
          <w:tcPr>
            <w:tcW w:w="2057" w:type="dxa"/>
            <w:tcBorders>
              <w:top w:val="nil"/>
              <w:left w:val="nil"/>
              <w:bottom w:val="single" w:sz="4" w:space="0" w:color="auto"/>
              <w:right w:val="single" w:sz="4" w:space="0" w:color="auto"/>
            </w:tcBorders>
            <w:noWrap/>
            <w:vAlign w:val="bottom"/>
            <w:hideMark/>
          </w:tcPr>
          <w:p w14:paraId="53904BD3" w14:textId="77777777" w:rsidR="00D03D87" w:rsidRPr="009A7CD7" w:rsidRDefault="00D03D87" w:rsidP="006E1DA8">
            <w:pPr>
              <w:jc w:val="center"/>
              <w:rPr>
                <w:color w:val="000000"/>
                <w:sz w:val="22"/>
                <w:szCs w:val="22"/>
              </w:rPr>
            </w:pPr>
            <w:r w:rsidRPr="009A7CD7">
              <w:rPr>
                <w:color w:val="000000"/>
                <w:sz w:val="22"/>
                <w:szCs w:val="22"/>
              </w:rPr>
              <w:t>8.914.000</w:t>
            </w:r>
          </w:p>
        </w:tc>
        <w:tc>
          <w:tcPr>
            <w:tcW w:w="2268" w:type="dxa"/>
            <w:tcBorders>
              <w:top w:val="nil"/>
              <w:left w:val="nil"/>
              <w:bottom w:val="single" w:sz="4" w:space="0" w:color="auto"/>
              <w:right w:val="single" w:sz="4" w:space="0" w:color="auto"/>
            </w:tcBorders>
            <w:noWrap/>
            <w:vAlign w:val="bottom"/>
            <w:hideMark/>
          </w:tcPr>
          <w:p w14:paraId="61B9C08E" w14:textId="2E4F2BDA" w:rsidR="00D03D87" w:rsidRPr="009A7CD7" w:rsidRDefault="00200CB7" w:rsidP="006E1DA8">
            <w:pPr>
              <w:jc w:val="center"/>
              <w:rPr>
                <w:color w:val="000000"/>
                <w:sz w:val="22"/>
                <w:szCs w:val="22"/>
              </w:rPr>
            </w:pPr>
            <w:r w:rsidRPr="009A7CD7">
              <w:rPr>
                <w:color w:val="000000"/>
                <w:sz w:val="22"/>
                <w:szCs w:val="22"/>
              </w:rPr>
              <w:t>+</w:t>
            </w:r>
            <w:r w:rsidR="00E519E9" w:rsidRPr="009A7CD7">
              <w:rPr>
                <w:color w:val="000000"/>
                <w:sz w:val="22"/>
                <w:szCs w:val="22"/>
              </w:rPr>
              <w:t xml:space="preserve"> </w:t>
            </w:r>
            <w:r w:rsidR="00D03D87" w:rsidRPr="009A7CD7">
              <w:rPr>
                <w:color w:val="000000"/>
                <w:sz w:val="22"/>
                <w:szCs w:val="22"/>
              </w:rPr>
              <w:t>805.428</w:t>
            </w:r>
          </w:p>
        </w:tc>
        <w:tc>
          <w:tcPr>
            <w:tcW w:w="2835" w:type="dxa"/>
            <w:tcBorders>
              <w:top w:val="nil"/>
              <w:left w:val="nil"/>
              <w:bottom w:val="single" w:sz="4" w:space="0" w:color="auto"/>
              <w:right w:val="single" w:sz="4" w:space="0" w:color="auto"/>
            </w:tcBorders>
            <w:noWrap/>
            <w:vAlign w:val="bottom"/>
            <w:hideMark/>
          </w:tcPr>
          <w:p w14:paraId="2E1CFECC" w14:textId="5AD24B17" w:rsidR="00D03D87" w:rsidRPr="009A7CD7" w:rsidRDefault="00200CB7" w:rsidP="006E1DA8">
            <w:pPr>
              <w:jc w:val="center"/>
              <w:rPr>
                <w:color w:val="000000"/>
                <w:sz w:val="22"/>
                <w:szCs w:val="22"/>
              </w:rPr>
            </w:pPr>
            <w:r w:rsidRPr="009A7CD7">
              <w:rPr>
                <w:color w:val="000000"/>
                <w:sz w:val="22"/>
                <w:szCs w:val="22"/>
              </w:rPr>
              <w:t>+</w:t>
            </w:r>
            <w:r w:rsidR="00E519E9" w:rsidRPr="009A7CD7">
              <w:rPr>
                <w:color w:val="000000"/>
                <w:sz w:val="22"/>
                <w:szCs w:val="22"/>
              </w:rPr>
              <w:t xml:space="preserve"> </w:t>
            </w:r>
            <w:r w:rsidR="00D03D87" w:rsidRPr="009A7CD7">
              <w:rPr>
                <w:color w:val="000000"/>
                <w:sz w:val="22"/>
                <w:szCs w:val="22"/>
              </w:rPr>
              <w:t>667.613</w:t>
            </w:r>
          </w:p>
        </w:tc>
      </w:tr>
      <w:tr w:rsidR="00D03D87" w:rsidRPr="009A7CD7" w14:paraId="1534D871" w14:textId="77777777" w:rsidTr="00182CC8">
        <w:trPr>
          <w:trHeight w:val="310"/>
          <w:jc w:val="center"/>
        </w:trPr>
        <w:tc>
          <w:tcPr>
            <w:tcW w:w="2900" w:type="dxa"/>
            <w:tcBorders>
              <w:top w:val="nil"/>
              <w:left w:val="single" w:sz="4" w:space="0" w:color="auto"/>
              <w:bottom w:val="single" w:sz="4" w:space="0" w:color="auto"/>
              <w:right w:val="single" w:sz="4" w:space="0" w:color="auto"/>
            </w:tcBorders>
            <w:noWrap/>
            <w:vAlign w:val="bottom"/>
            <w:hideMark/>
          </w:tcPr>
          <w:p w14:paraId="0A142999" w14:textId="77777777" w:rsidR="00D03D87" w:rsidRPr="009A7CD7" w:rsidRDefault="00D03D87" w:rsidP="006E1DA8">
            <w:pPr>
              <w:rPr>
                <w:color w:val="000000"/>
                <w:sz w:val="22"/>
                <w:szCs w:val="22"/>
              </w:rPr>
            </w:pPr>
            <w:r w:rsidRPr="009A7CD7">
              <w:rPr>
                <w:color w:val="000000"/>
                <w:sz w:val="22"/>
                <w:szCs w:val="22"/>
              </w:rPr>
              <w:t>Calabria</w:t>
            </w:r>
          </w:p>
        </w:tc>
        <w:tc>
          <w:tcPr>
            <w:tcW w:w="2057" w:type="dxa"/>
            <w:tcBorders>
              <w:top w:val="nil"/>
              <w:left w:val="nil"/>
              <w:bottom w:val="single" w:sz="4" w:space="0" w:color="auto"/>
              <w:right w:val="single" w:sz="4" w:space="0" w:color="auto"/>
            </w:tcBorders>
            <w:noWrap/>
            <w:vAlign w:val="bottom"/>
            <w:hideMark/>
          </w:tcPr>
          <w:p w14:paraId="428C9A37" w14:textId="77777777" w:rsidR="00D03D87" w:rsidRPr="009A7CD7" w:rsidRDefault="00D03D87" w:rsidP="006E1DA8">
            <w:pPr>
              <w:jc w:val="center"/>
              <w:rPr>
                <w:color w:val="000000"/>
                <w:sz w:val="22"/>
                <w:szCs w:val="22"/>
              </w:rPr>
            </w:pPr>
            <w:r w:rsidRPr="009A7CD7">
              <w:rPr>
                <w:color w:val="000000"/>
                <w:sz w:val="22"/>
                <w:szCs w:val="22"/>
              </w:rPr>
              <w:t>29.035.000</w:t>
            </w:r>
          </w:p>
        </w:tc>
        <w:tc>
          <w:tcPr>
            <w:tcW w:w="2268" w:type="dxa"/>
            <w:tcBorders>
              <w:top w:val="nil"/>
              <w:left w:val="nil"/>
              <w:bottom w:val="single" w:sz="4" w:space="0" w:color="auto"/>
              <w:right w:val="single" w:sz="4" w:space="0" w:color="auto"/>
            </w:tcBorders>
            <w:noWrap/>
            <w:vAlign w:val="bottom"/>
            <w:hideMark/>
          </w:tcPr>
          <w:p w14:paraId="2704FC56" w14:textId="11049B26" w:rsidR="00D03D87" w:rsidRPr="009A7CD7" w:rsidRDefault="00200CB7" w:rsidP="006E1DA8">
            <w:pPr>
              <w:jc w:val="center"/>
              <w:rPr>
                <w:color w:val="000000"/>
                <w:sz w:val="22"/>
                <w:szCs w:val="22"/>
              </w:rPr>
            </w:pPr>
            <w:r w:rsidRPr="009A7CD7">
              <w:rPr>
                <w:color w:val="000000"/>
                <w:sz w:val="22"/>
                <w:szCs w:val="22"/>
              </w:rPr>
              <w:t>+</w:t>
            </w:r>
            <w:r w:rsidR="00E519E9" w:rsidRPr="009A7CD7">
              <w:rPr>
                <w:color w:val="000000"/>
                <w:sz w:val="22"/>
                <w:szCs w:val="22"/>
              </w:rPr>
              <w:t xml:space="preserve"> </w:t>
            </w:r>
            <w:r w:rsidR="00D03D87" w:rsidRPr="009A7CD7">
              <w:rPr>
                <w:color w:val="000000"/>
                <w:sz w:val="22"/>
                <w:szCs w:val="22"/>
              </w:rPr>
              <w:t>631.848</w:t>
            </w:r>
          </w:p>
        </w:tc>
        <w:tc>
          <w:tcPr>
            <w:tcW w:w="2835" w:type="dxa"/>
            <w:tcBorders>
              <w:top w:val="nil"/>
              <w:left w:val="nil"/>
              <w:bottom w:val="single" w:sz="4" w:space="0" w:color="auto"/>
              <w:right w:val="single" w:sz="4" w:space="0" w:color="auto"/>
            </w:tcBorders>
            <w:noWrap/>
            <w:vAlign w:val="bottom"/>
            <w:hideMark/>
          </w:tcPr>
          <w:p w14:paraId="0551263E" w14:textId="5097A5DE" w:rsidR="00D03D87" w:rsidRPr="009A7CD7" w:rsidRDefault="00200CB7" w:rsidP="006E1DA8">
            <w:pPr>
              <w:jc w:val="center"/>
              <w:rPr>
                <w:color w:val="000000"/>
                <w:sz w:val="22"/>
                <w:szCs w:val="22"/>
              </w:rPr>
            </w:pPr>
            <w:r w:rsidRPr="009A7CD7">
              <w:rPr>
                <w:color w:val="000000"/>
                <w:sz w:val="22"/>
                <w:szCs w:val="22"/>
              </w:rPr>
              <w:t>+</w:t>
            </w:r>
            <w:r w:rsidR="00E519E9" w:rsidRPr="009A7CD7">
              <w:rPr>
                <w:color w:val="000000"/>
                <w:sz w:val="22"/>
                <w:szCs w:val="22"/>
              </w:rPr>
              <w:t xml:space="preserve"> </w:t>
            </w:r>
            <w:r w:rsidR="00D03D87" w:rsidRPr="009A7CD7">
              <w:rPr>
                <w:color w:val="000000"/>
                <w:sz w:val="22"/>
                <w:szCs w:val="22"/>
              </w:rPr>
              <w:t>159.340</w:t>
            </w:r>
          </w:p>
        </w:tc>
      </w:tr>
      <w:tr w:rsidR="00D03D87" w:rsidRPr="009A7CD7" w14:paraId="5F5C3379" w14:textId="77777777" w:rsidTr="00182CC8">
        <w:trPr>
          <w:trHeight w:val="310"/>
          <w:jc w:val="center"/>
        </w:trPr>
        <w:tc>
          <w:tcPr>
            <w:tcW w:w="2900" w:type="dxa"/>
            <w:tcBorders>
              <w:top w:val="nil"/>
              <w:left w:val="single" w:sz="4" w:space="0" w:color="auto"/>
              <w:bottom w:val="single" w:sz="4" w:space="0" w:color="auto"/>
              <w:right w:val="single" w:sz="4" w:space="0" w:color="auto"/>
            </w:tcBorders>
            <w:noWrap/>
            <w:vAlign w:val="bottom"/>
            <w:hideMark/>
          </w:tcPr>
          <w:p w14:paraId="27601835" w14:textId="77777777" w:rsidR="00D03D87" w:rsidRPr="009A7CD7" w:rsidRDefault="00D03D87" w:rsidP="006E1DA8">
            <w:pPr>
              <w:rPr>
                <w:color w:val="000000"/>
                <w:sz w:val="22"/>
                <w:szCs w:val="22"/>
              </w:rPr>
            </w:pPr>
            <w:r w:rsidRPr="009A7CD7">
              <w:rPr>
                <w:color w:val="000000"/>
                <w:sz w:val="22"/>
                <w:szCs w:val="22"/>
              </w:rPr>
              <w:t>Campania</w:t>
            </w:r>
          </w:p>
        </w:tc>
        <w:tc>
          <w:tcPr>
            <w:tcW w:w="2057" w:type="dxa"/>
            <w:tcBorders>
              <w:top w:val="nil"/>
              <w:left w:val="nil"/>
              <w:bottom w:val="single" w:sz="4" w:space="0" w:color="auto"/>
              <w:right w:val="single" w:sz="4" w:space="0" w:color="auto"/>
            </w:tcBorders>
            <w:noWrap/>
            <w:vAlign w:val="bottom"/>
            <w:hideMark/>
          </w:tcPr>
          <w:p w14:paraId="2C8D62BA" w14:textId="77777777" w:rsidR="00D03D87" w:rsidRPr="009A7CD7" w:rsidRDefault="00D03D87" w:rsidP="006E1DA8">
            <w:pPr>
              <w:jc w:val="center"/>
              <w:rPr>
                <w:color w:val="000000"/>
                <w:sz w:val="22"/>
                <w:szCs w:val="22"/>
              </w:rPr>
            </w:pPr>
            <w:r w:rsidRPr="009A7CD7">
              <w:rPr>
                <w:color w:val="000000"/>
                <w:sz w:val="22"/>
                <w:szCs w:val="22"/>
              </w:rPr>
              <w:t>72.501.000</w:t>
            </w:r>
          </w:p>
        </w:tc>
        <w:tc>
          <w:tcPr>
            <w:tcW w:w="2268" w:type="dxa"/>
            <w:tcBorders>
              <w:top w:val="nil"/>
              <w:left w:val="nil"/>
              <w:bottom w:val="single" w:sz="4" w:space="0" w:color="auto"/>
              <w:right w:val="single" w:sz="4" w:space="0" w:color="auto"/>
            </w:tcBorders>
            <w:noWrap/>
            <w:vAlign w:val="bottom"/>
            <w:hideMark/>
          </w:tcPr>
          <w:p w14:paraId="47113942" w14:textId="47385E9D" w:rsidR="00D03D87" w:rsidRPr="009A7CD7" w:rsidRDefault="00200CB7" w:rsidP="006E1DA8">
            <w:pPr>
              <w:jc w:val="center"/>
              <w:rPr>
                <w:color w:val="000000"/>
                <w:sz w:val="22"/>
                <w:szCs w:val="22"/>
              </w:rPr>
            </w:pPr>
            <w:r w:rsidRPr="009A7CD7">
              <w:rPr>
                <w:color w:val="000000"/>
                <w:sz w:val="22"/>
                <w:szCs w:val="22"/>
              </w:rPr>
              <w:t>+</w:t>
            </w:r>
            <w:r w:rsidR="00E519E9" w:rsidRPr="009A7CD7">
              <w:rPr>
                <w:color w:val="000000"/>
                <w:sz w:val="22"/>
                <w:szCs w:val="22"/>
              </w:rPr>
              <w:t xml:space="preserve"> </w:t>
            </w:r>
            <w:r w:rsidR="00D03D87" w:rsidRPr="009A7CD7">
              <w:rPr>
                <w:color w:val="000000"/>
                <w:sz w:val="22"/>
                <w:szCs w:val="22"/>
              </w:rPr>
              <w:t>589.383</w:t>
            </w:r>
          </w:p>
        </w:tc>
        <w:tc>
          <w:tcPr>
            <w:tcW w:w="2835" w:type="dxa"/>
            <w:tcBorders>
              <w:top w:val="nil"/>
              <w:left w:val="nil"/>
              <w:bottom w:val="single" w:sz="4" w:space="0" w:color="auto"/>
              <w:right w:val="single" w:sz="4" w:space="0" w:color="auto"/>
            </w:tcBorders>
            <w:noWrap/>
            <w:vAlign w:val="bottom"/>
            <w:hideMark/>
          </w:tcPr>
          <w:p w14:paraId="7ACE81F3" w14:textId="26BAFDA1" w:rsidR="00D03D87" w:rsidRPr="009A7CD7" w:rsidRDefault="00E519E9" w:rsidP="006E1DA8">
            <w:pPr>
              <w:jc w:val="center"/>
              <w:rPr>
                <w:color w:val="000000"/>
                <w:sz w:val="22"/>
                <w:szCs w:val="22"/>
              </w:rPr>
            </w:pPr>
            <w:r w:rsidRPr="009A7CD7">
              <w:rPr>
                <w:color w:val="000000"/>
                <w:sz w:val="22"/>
                <w:szCs w:val="22"/>
              </w:rPr>
              <w:t xml:space="preserve">- - </w:t>
            </w:r>
            <w:r w:rsidR="00BF1F4F" w:rsidRPr="009A7CD7">
              <w:rPr>
                <w:color w:val="000000"/>
                <w:sz w:val="22"/>
                <w:szCs w:val="22"/>
              </w:rPr>
              <w:t>-</w:t>
            </w:r>
          </w:p>
        </w:tc>
      </w:tr>
      <w:tr w:rsidR="00D03D87" w:rsidRPr="009A7CD7" w14:paraId="14C781A4" w14:textId="77777777" w:rsidTr="00182CC8">
        <w:trPr>
          <w:trHeight w:val="310"/>
          <w:jc w:val="center"/>
        </w:trPr>
        <w:tc>
          <w:tcPr>
            <w:tcW w:w="2900" w:type="dxa"/>
            <w:tcBorders>
              <w:top w:val="nil"/>
              <w:left w:val="single" w:sz="4" w:space="0" w:color="auto"/>
              <w:bottom w:val="single" w:sz="4" w:space="0" w:color="auto"/>
              <w:right w:val="single" w:sz="4" w:space="0" w:color="auto"/>
            </w:tcBorders>
            <w:noWrap/>
            <w:vAlign w:val="bottom"/>
            <w:hideMark/>
          </w:tcPr>
          <w:p w14:paraId="6F2F8DE2" w14:textId="77777777" w:rsidR="00D03D87" w:rsidRPr="009A7CD7" w:rsidRDefault="00D03D87" w:rsidP="006E1DA8">
            <w:pPr>
              <w:rPr>
                <w:color w:val="000000"/>
                <w:sz w:val="22"/>
                <w:szCs w:val="22"/>
              </w:rPr>
            </w:pPr>
            <w:r w:rsidRPr="009A7CD7">
              <w:rPr>
                <w:color w:val="000000"/>
                <w:sz w:val="22"/>
                <w:szCs w:val="22"/>
              </w:rPr>
              <w:t>Emilia-Romagna</w:t>
            </w:r>
          </w:p>
        </w:tc>
        <w:tc>
          <w:tcPr>
            <w:tcW w:w="2057" w:type="dxa"/>
            <w:tcBorders>
              <w:top w:val="nil"/>
              <w:left w:val="nil"/>
              <w:bottom w:val="single" w:sz="4" w:space="0" w:color="auto"/>
              <w:right w:val="single" w:sz="4" w:space="0" w:color="auto"/>
            </w:tcBorders>
            <w:noWrap/>
            <w:vAlign w:val="bottom"/>
            <w:hideMark/>
          </w:tcPr>
          <w:p w14:paraId="0E630AA5" w14:textId="77777777" w:rsidR="00D03D87" w:rsidRPr="009A7CD7" w:rsidRDefault="00D03D87" w:rsidP="006E1DA8">
            <w:pPr>
              <w:jc w:val="center"/>
              <w:rPr>
                <w:color w:val="000000"/>
                <w:sz w:val="22"/>
                <w:szCs w:val="22"/>
              </w:rPr>
            </w:pPr>
            <w:r w:rsidRPr="009A7CD7">
              <w:rPr>
                <w:color w:val="000000"/>
                <w:sz w:val="22"/>
                <w:szCs w:val="22"/>
              </w:rPr>
              <w:t>65.794.000</w:t>
            </w:r>
          </w:p>
        </w:tc>
        <w:tc>
          <w:tcPr>
            <w:tcW w:w="2268" w:type="dxa"/>
            <w:tcBorders>
              <w:top w:val="nil"/>
              <w:left w:val="nil"/>
              <w:bottom w:val="single" w:sz="4" w:space="0" w:color="auto"/>
              <w:right w:val="single" w:sz="4" w:space="0" w:color="auto"/>
            </w:tcBorders>
            <w:noWrap/>
            <w:vAlign w:val="bottom"/>
            <w:hideMark/>
          </w:tcPr>
          <w:p w14:paraId="089C1304" w14:textId="3C24F72C" w:rsidR="00D03D87" w:rsidRPr="009A7CD7" w:rsidRDefault="00200CB7" w:rsidP="006E1DA8">
            <w:pPr>
              <w:jc w:val="center"/>
              <w:rPr>
                <w:color w:val="000000"/>
                <w:sz w:val="22"/>
                <w:szCs w:val="22"/>
              </w:rPr>
            </w:pPr>
            <w:r w:rsidRPr="009A7CD7">
              <w:rPr>
                <w:color w:val="000000"/>
                <w:sz w:val="22"/>
                <w:szCs w:val="22"/>
              </w:rPr>
              <w:t>+</w:t>
            </w:r>
            <w:r w:rsidR="00E519E9" w:rsidRPr="009A7CD7">
              <w:rPr>
                <w:color w:val="000000"/>
                <w:sz w:val="22"/>
                <w:szCs w:val="22"/>
              </w:rPr>
              <w:t xml:space="preserve"> </w:t>
            </w:r>
            <w:r w:rsidR="00D03D87" w:rsidRPr="009A7CD7">
              <w:rPr>
                <w:color w:val="000000"/>
                <w:sz w:val="22"/>
                <w:szCs w:val="22"/>
              </w:rPr>
              <w:t>957.198</w:t>
            </w:r>
          </w:p>
        </w:tc>
        <w:tc>
          <w:tcPr>
            <w:tcW w:w="2835" w:type="dxa"/>
            <w:tcBorders>
              <w:top w:val="nil"/>
              <w:left w:val="nil"/>
              <w:bottom w:val="single" w:sz="4" w:space="0" w:color="auto"/>
              <w:right w:val="single" w:sz="4" w:space="0" w:color="auto"/>
            </w:tcBorders>
            <w:noWrap/>
            <w:vAlign w:val="bottom"/>
            <w:hideMark/>
          </w:tcPr>
          <w:p w14:paraId="66924755" w14:textId="65360CF4" w:rsidR="00D03D87" w:rsidRPr="009A7CD7" w:rsidRDefault="00E519E9" w:rsidP="006E1DA8">
            <w:pPr>
              <w:jc w:val="center"/>
              <w:rPr>
                <w:color w:val="000000"/>
                <w:sz w:val="22"/>
                <w:szCs w:val="22"/>
              </w:rPr>
            </w:pPr>
            <w:r w:rsidRPr="009A7CD7">
              <w:rPr>
                <w:color w:val="000000"/>
                <w:sz w:val="22"/>
                <w:szCs w:val="22"/>
              </w:rPr>
              <w:t xml:space="preserve">- </w:t>
            </w:r>
            <w:r w:rsidR="00BF1F4F" w:rsidRPr="009A7CD7">
              <w:rPr>
                <w:color w:val="000000"/>
                <w:sz w:val="22"/>
                <w:szCs w:val="22"/>
              </w:rPr>
              <w:t>-</w:t>
            </w:r>
            <w:r w:rsidRPr="009A7CD7">
              <w:rPr>
                <w:color w:val="000000"/>
                <w:sz w:val="22"/>
                <w:szCs w:val="22"/>
              </w:rPr>
              <w:t xml:space="preserve"> -</w:t>
            </w:r>
          </w:p>
        </w:tc>
      </w:tr>
      <w:tr w:rsidR="00D03D87" w:rsidRPr="009A7CD7" w14:paraId="22EFE27F" w14:textId="77777777" w:rsidTr="00182CC8">
        <w:trPr>
          <w:trHeight w:val="310"/>
          <w:jc w:val="center"/>
        </w:trPr>
        <w:tc>
          <w:tcPr>
            <w:tcW w:w="2900" w:type="dxa"/>
            <w:tcBorders>
              <w:top w:val="nil"/>
              <w:left w:val="single" w:sz="4" w:space="0" w:color="auto"/>
              <w:bottom w:val="single" w:sz="4" w:space="0" w:color="auto"/>
              <w:right w:val="single" w:sz="4" w:space="0" w:color="auto"/>
            </w:tcBorders>
            <w:noWrap/>
            <w:vAlign w:val="bottom"/>
            <w:hideMark/>
          </w:tcPr>
          <w:p w14:paraId="44C52A6C" w14:textId="77777777" w:rsidR="00D03D87" w:rsidRPr="009A7CD7" w:rsidRDefault="00D03D87" w:rsidP="006E1DA8">
            <w:pPr>
              <w:rPr>
                <w:color w:val="000000"/>
                <w:sz w:val="22"/>
                <w:szCs w:val="22"/>
              </w:rPr>
            </w:pPr>
            <w:r w:rsidRPr="009A7CD7">
              <w:rPr>
                <w:color w:val="000000"/>
                <w:sz w:val="22"/>
                <w:szCs w:val="22"/>
              </w:rPr>
              <w:t>Friuli-Venezia Giulia</w:t>
            </w:r>
          </w:p>
        </w:tc>
        <w:tc>
          <w:tcPr>
            <w:tcW w:w="2057" w:type="dxa"/>
            <w:tcBorders>
              <w:top w:val="nil"/>
              <w:left w:val="nil"/>
              <w:bottom w:val="single" w:sz="4" w:space="0" w:color="auto"/>
              <w:right w:val="single" w:sz="4" w:space="0" w:color="auto"/>
            </w:tcBorders>
            <w:noWrap/>
            <w:vAlign w:val="bottom"/>
            <w:hideMark/>
          </w:tcPr>
          <w:p w14:paraId="5AF953C4" w14:textId="77777777" w:rsidR="00D03D87" w:rsidRPr="009A7CD7" w:rsidRDefault="00D03D87" w:rsidP="006E1DA8">
            <w:pPr>
              <w:jc w:val="center"/>
              <w:rPr>
                <w:color w:val="000000"/>
                <w:sz w:val="22"/>
                <w:szCs w:val="22"/>
              </w:rPr>
            </w:pPr>
            <w:r w:rsidRPr="009A7CD7">
              <w:rPr>
                <w:color w:val="000000"/>
                <w:sz w:val="22"/>
                <w:szCs w:val="22"/>
              </w:rPr>
              <w:t>19.866.000</w:t>
            </w:r>
          </w:p>
        </w:tc>
        <w:tc>
          <w:tcPr>
            <w:tcW w:w="2268" w:type="dxa"/>
            <w:tcBorders>
              <w:top w:val="nil"/>
              <w:left w:val="nil"/>
              <w:bottom w:val="single" w:sz="4" w:space="0" w:color="auto"/>
              <w:right w:val="single" w:sz="4" w:space="0" w:color="auto"/>
            </w:tcBorders>
            <w:noWrap/>
            <w:vAlign w:val="bottom"/>
            <w:hideMark/>
          </w:tcPr>
          <w:p w14:paraId="2A0F5A93" w14:textId="2F9A9DCC" w:rsidR="00D03D87" w:rsidRPr="009A7CD7" w:rsidRDefault="00200CB7" w:rsidP="006E1DA8">
            <w:pPr>
              <w:jc w:val="center"/>
              <w:rPr>
                <w:color w:val="000000"/>
                <w:sz w:val="22"/>
                <w:szCs w:val="22"/>
              </w:rPr>
            </w:pPr>
            <w:r w:rsidRPr="009A7CD7">
              <w:rPr>
                <w:color w:val="000000"/>
                <w:sz w:val="22"/>
                <w:szCs w:val="22"/>
              </w:rPr>
              <w:t>+</w:t>
            </w:r>
            <w:r w:rsidR="00E519E9" w:rsidRPr="009A7CD7">
              <w:rPr>
                <w:color w:val="000000"/>
                <w:sz w:val="22"/>
                <w:szCs w:val="22"/>
              </w:rPr>
              <w:t xml:space="preserve"> </w:t>
            </w:r>
            <w:r w:rsidR="00D03D87" w:rsidRPr="009A7CD7">
              <w:rPr>
                <w:color w:val="000000"/>
                <w:sz w:val="22"/>
                <w:szCs w:val="22"/>
              </w:rPr>
              <w:t>423.524</w:t>
            </w:r>
          </w:p>
        </w:tc>
        <w:tc>
          <w:tcPr>
            <w:tcW w:w="2835" w:type="dxa"/>
            <w:tcBorders>
              <w:top w:val="nil"/>
              <w:left w:val="nil"/>
              <w:bottom w:val="single" w:sz="4" w:space="0" w:color="auto"/>
              <w:right w:val="single" w:sz="4" w:space="0" w:color="auto"/>
            </w:tcBorders>
            <w:noWrap/>
            <w:vAlign w:val="bottom"/>
            <w:hideMark/>
          </w:tcPr>
          <w:p w14:paraId="2A12811C" w14:textId="64C320CB" w:rsidR="00D03D87" w:rsidRPr="009A7CD7" w:rsidRDefault="00200CB7" w:rsidP="006E1DA8">
            <w:pPr>
              <w:jc w:val="center"/>
              <w:rPr>
                <w:color w:val="000000"/>
                <w:sz w:val="22"/>
                <w:szCs w:val="22"/>
              </w:rPr>
            </w:pPr>
            <w:r w:rsidRPr="009A7CD7">
              <w:rPr>
                <w:color w:val="000000"/>
                <w:sz w:val="22"/>
                <w:szCs w:val="22"/>
              </w:rPr>
              <w:t>+</w:t>
            </w:r>
            <w:r w:rsidR="00E519E9" w:rsidRPr="009A7CD7">
              <w:rPr>
                <w:color w:val="000000"/>
                <w:sz w:val="22"/>
                <w:szCs w:val="22"/>
              </w:rPr>
              <w:t xml:space="preserve"> </w:t>
            </w:r>
            <w:r w:rsidR="00D03D87" w:rsidRPr="009A7CD7">
              <w:rPr>
                <w:color w:val="000000"/>
                <w:sz w:val="22"/>
                <w:szCs w:val="22"/>
              </w:rPr>
              <w:t>81.778</w:t>
            </w:r>
          </w:p>
        </w:tc>
      </w:tr>
      <w:tr w:rsidR="00D03D87" w:rsidRPr="009A7CD7" w14:paraId="6CDE23EB" w14:textId="77777777" w:rsidTr="00182CC8">
        <w:trPr>
          <w:trHeight w:val="310"/>
          <w:jc w:val="center"/>
        </w:trPr>
        <w:tc>
          <w:tcPr>
            <w:tcW w:w="2900" w:type="dxa"/>
            <w:tcBorders>
              <w:top w:val="nil"/>
              <w:left w:val="single" w:sz="4" w:space="0" w:color="auto"/>
              <w:bottom w:val="single" w:sz="4" w:space="0" w:color="auto"/>
              <w:right w:val="single" w:sz="4" w:space="0" w:color="auto"/>
            </w:tcBorders>
            <w:noWrap/>
            <w:vAlign w:val="bottom"/>
            <w:hideMark/>
          </w:tcPr>
          <w:p w14:paraId="67D0D503" w14:textId="77777777" w:rsidR="00D03D87" w:rsidRPr="009A7CD7" w:rsidRDefault="00D03D87" w:rsidP="006E1DA8">
            <w:pPr>
              <w:rPr>
                <w:color w:val="000000"/>
                <w:sz w:val="22"/>
                <w:szCs w:val="22"/>
              </w:rPr>
            </w:pPr>
            <w:r w:rsidRPr="009A7CD7">
              <w:rPr>
                <w:color w:val="000000"/>
                <w:sz w:val="22"/>
                <w:szCs w:val="22"/>
              </w:rPr>
              <w:t>Lazio</w:t>
            </w:r>
          </w:p>
        </w:tc>
        <w:tc>
          <w:tcPr>
            <w:tcW w:w="2057" w:type="dxa"/>
            <w:tcBorders>
              <w:top w:val="nil"/>
              <w:left w:val="nil"/>
              <w:bottom w:val="single" w:sz="4" w:space="0" w:color="auto"/>
              <w:right w:val="single" w:sz="4" w:space="0" w:color="auto"/>
            </w:tcBorders>
            <w:noWrap/>
            <w:vAlign w:val="bottom"/>
            <w:hideMark/>
          </w:tcPr>
          <w:p w14:paraId="5188BABE" w14:textId="77777777" w:rsidR="00D03D87" w:rsidRPr="009A7CD7" w:rsidRDefault="00D03D87" w:rsidP="006E1DA8">
            <w:pPr>
              <w:jc w:val="center"/>
              <w:rPr>
                <w:color w:val="000000"/>
                <w:sz w:val="22"/>
                <w:szCs w:val="22"/>
              </w:rPr>
            </w:pPr>
            <w:r w:rsidRPr="009A7CD7">
              <w:rPr>
                <w:color w:val="000000"/>
                <w:sz w:val="22"/>
                <w:szCs w:val="22"/>
              </w:rPr>
              <w:t>77.680.000</w:t>
            </w:r>
          </w:p>
        </w:tc>
        <w:tc>
          <w:tcPr>
            <w:tcW w:w="2268" w:type="dxa"/>
            <w:tcBorders>
              <w:top w:val="nil"/>
              <w:left w:val="nil"/>
              <w:bottom w:val="single" w:sz="4" w:space="0" w:color="auto"/>
              <w:right w:val="single" w:sz="4" w:space="0" w:color="auto"/>
            </w:tcBorders>
            <w:noWrap/>
            <w:vAlign w:val="bottom"/>
            <w:hideMark/>
          </w:tcPr>
          <w:p w14:paraId="0570DF06" w14:textId="3ADD9E1D" w:rsidR="00D03D87" w:rsidRPr="009A7CD7" w:rsidRDefault="00E519E9" w:rsidP="006E1DA8">
            <w:pPr>
              <w:jc w:val="center"/>
              <w:rPr>
                <w:color w:val="000000"/>
                <w:sz w:val="22"/>
                <w:szCs w:val="22"/>
              </w:rPr>
            </w:pPr>
            <w:r w:rsidRPr="009A7CD7">
              <w:rPr>
                <w:color w:val="000000"/>
                <w:sz w:val="22"/>
                <w:szCs w:val="22"/>
              </w:rPr>
              <w:t xml:space="preserve">- </w:t>
            </w:r>
            <w:r w:rsidR="00BF1F4F" w:rsidRPr="009A7CD7">
              <w:rPr>
                <w:color w:val="000000"/>
                <w:sz w:val="22"/>
                <w:szCs w:val="22"/>
              </w:rPr>
              <w:t>-</w:t>
            </w:r>
            <w:r w:rsidRPr="009A7CD7">
              <w:rPr>
                <w:color w:val="000000"/>
                <w:sz w:val="22"/>
                <w:szCs w:val="22"/>
              </w:rPr>
              <w:t xml:space="preserve"> -</w:t>
            </w:r>
          </w:p>
        </w:tc>
        <w:tc>
          <w:tcPr>
            <w:tcW w:w="2835" w:type="dxa"/>
            <w:tcBorders>
              <w:top w:val="nil"/>
              <w:left w:val="nil"/>
              <w:bottom w:val="single" w:sz="4" w:space="0" w:color="auto"/>
              <w:right w:val="single" w:sz="4" w:space="0" w:color="auto"/>
            </w:tcBorders>
            <w:noWrap/>
            <w:vAlign w:val="bottom"/>
            <w:hideMark/>
          </w:tcPr>
          <w:p w14:paraId="56288E0B" w14:textId="067C0D62" w:rsidR="00D03D87" w:rsidRPr="009A7CD7" w:rsidRDefault="00761EFB" w:rsidP="006E1DA8">
            <w:pPr>
              <w:jc w:val="center"/>
              <w:rPr>
                <w:color w:val="000000"/>
                <w:sz w:val="22"/>
                <w:szCs w:val="22"/>
              </w:rPr>
            </w:pPr>
            <w:r w:rsidRPr="009A7CD7">
              <w:rPr>
                <w:color w:val="000000"/>
                <w:sz w:val="22"/>
                <w:szCs w:val="22"/>
              </w:rPr>
              <w:t xml:space="preserve">- </w:t>
            </w:r>
            <w:r w:rsidR="00BF1F4F" w:rsidRPr="009A7CD7">
              <w:rPr>
                <w:color w:val="000000"/>
                <w:sz w:val="22"/>
                <w:szCs w:val="22"/>
              </w:rPr>
              <w:t>-</w:t>
            </w:r>
            <w:r w:rsidRPr="009A7CD7">
              <w:rPr>
                <w:color w:val="000000"/>
                <w:sz w:val="22"/>
                <w:szCs w:val="22"/>
              </w:rPr>
              <w:t xml:space="preserve"> -</w:t>
            </w:r>
          </w:p>
        </w:tc>
      </w:tr>
      <w:tr w:rsidR="00D03D87" w:rsidRPr="009A7CD7" w14:paraId="1E251704" w14:textId="77777777" w:rsidTr="00182CC8">
        <w:trPr>
          <w:trHeight w:val="310"/>
          <w:jc w:val="center"/>
        </w:trPr>
        <w:tc>
          <w:tcPr>
            <w:tcW w:w="2900" w:type="dxa"/>
            <w:tcBorders>
              <w:top w:val="nil"/>
              <w:left w:val="single" w:sz="4" w:space="0" w:color="auto"/>
              <w:bottom w:val="single" w:sz="4" w:space="0" w:color="auto"/>
              <w:right w:val="single" w:sz="4" w:space="0" w:color="auto"/>
            </w:tcBorders>
            <w:noWrap/>
            <w:vAlign w:val="bottom"/>
            <w:hideMark/>
          </w:tcPr>
          <w:p w14:paraId="2114EC1A" w14:textId="77777777" w:rsidR="00D03D87" w:rsidRPr="009A7CD7" w:rsidRDefault="00D03D87" w:rsidP="006E1DA8">
            <w:pPr>
              <w:rPr>
                <w:color w:val="000000"/>
                <w:sz w:val="22"/>
                <w:szCs w:val="22"/>
              </w:rPr>
            </w:pPr>
            <w:r w:rsidRPr="009A7CD7">
              <w:rPr>
                <w:color w:val="000000"/>
                <w:sz w:val="22"/>
                <w:szCs w:val="22"/>
              </w:rPr>
              <w:t>Liguria</w:t>
            </w:r>
          </w:p>
        </w:tc>
        <w:tc>
          <w:tcPr>
            <w:tcW w:w="2057" w:type="dxa"/>
            <w:tcBorders>
              <w:top w:val="nil"/>
              <w:left w:val="nil"/>
              <w:bottom w:val="single" w:sz="4" w:space="0" w:color="auto"/>
              <w:right w:val="single" w:sz="4" w:space="0" w:color="auto"/>
            </w:tcBorders>
            <w:noWrap/>
            <w:vAlign w:val="bottom"/>
            <w:hideMark/>
          </w:tcPr>
          <w:p w14:paraId="3AB2737E" w14:textId="77777777" w:rsidR="00D03D87" w:rsidRPr="009A7CD7" w:rsidRDefault="00D03D87" w:rsidP="006E1DA8">
            <w:pPr>
              <w:jc w:val="center"/>
              <w:rPr>
                <w:color w:val="000000"/>
                <w:sz w:val="22"/>
                <w:szCs w:val="22"/>
              </w:rPr>
            </w:pPr>
            <w:r w:rsidRPr="009A7CD7">
              <w:rPr>
                <w:color w:val="000000"/>
                <w:sz w:val="22"/>
                <w:szCs w:val="22"/>
              </w:rPr>
              <w:t>27.846.000</w:t>
            </w:r>
          </w:p>
        </w:tc>
        <w:tc>
          <w:tcPr>
            <w:tcW w:w="2268" w:type="dxa"/>
            <w:tcBorders>
              <w:top w:val="nil"/>
              <w:left w:val="nil"/>
              <w:bottom w:val="single" w:sz="4" w:space="0" w:color="auto"/>
              <w:right w:val="single" w:sz="4" w:space="0" w:color="auto"/>
            </w:tcBorders>
            <w:noWrap/>
            <w:vAlign w:val="bottom"/>
            <w:hideMark/>
          </w:tcPr>
          <w:p w14:paraId="6B057EA4" w14:textId="2CCE0236" w:rsidR="00D03D87" w:rsidRPr="009A7CD7" w:rsidRDefault="00200CB7" w:rsidP="006E1DA8">
            <w:pPr>
              <w:jc w:val="center"/>
              <w:rPr>
                <w:color w:val="000000"/>
                <w:sz w:val="22"/>
                <w:szCs w:val="22"/>
              </w:rPr>
            </w:pPr>
            <w:r w:rsidRPr="009A7CD7">
              <w:rPr>
                <w:color w:val="000000"/>
                <w:sz w:val="22"/>
                <w:szCs w:val="22"/>
              </w:rPr>
              <w:t>+</w:t>
            </w:r>
            <w:r w:rsidR="00E519E9" w:rsidRPr="009A7CD7">
              <w:rPr>
                <w:color w:val="000000"/>
                <w:sz w:val="22"/>
                <w:szCs w:val="22"/>
              </w:rPr>
              <w:t xml:space="preserve"> </w:t>
            </w:r>
            <w:r w:rsidR="00D03D87" w:rsidRPr="009A7CD7">
              <w:rPr>
                <w:color w:val="000000"/>
                <w:sz w:val="22"/>
                <w:szCs w:val="22"/>
              </w:rPr>
              <w:t>1.719.402</w:t>
            </w:r>
          </w:p>
        </w:tc>
        <w:tc>
          <w:tcPr>
            <w:tcW w:w="2835" w:type="dxa"/>
            <w:tcBorders>
              <w:top w:val="nil"/>
              <w:left w:val="nil"/>
              <w:bottom w:val="single" w:sz="4" w:space="0" w:color="auto"/>
              <w:right w:val="single" w:sz="4" w:space="0" w:color="auto"/>
            </w:tcBorders>
            <w:noWrap/>
            <w:vAlign w:val="bottom"/>
            <w:hideMark/>
          </w:tcPr>
          <w:p w14:paraId="4CD83990" w14:textId="76378BC2" w:rsidR="00D03D87" w:rsidRPr="009A7CD7" w:rsidRDefault="00200CB7" w:rsidP="006E1DA8">
            <w:pPr>
              <w:jc w:val="center"/>
              <w:rPr>
                <w:color w:val="000000"/>
                <w:sz w:val="22"/>
                <w:szCs w:val="22"/>
              </w:rPr>
            </w:pPr>
            <w:r w:rsidRPr="009A7CD7">
              <w:rPr>
                <w:color w:val="000000"/>
                <w:sz w:val="22"/>
                <w:szCs w:val="22"/>
              </w:rPr>
              <w:t>+</w:t>
            </w:r>
            <w:r w:rsidR="00E519E9" w:rsidRPr="009A7CD7">
              <w:rPr>
                <w:color w:val="000000"/>
                <w:sz w:val="22"/>
                <w:szCs w:val="22"/>
              </w:rPr>
              <w:t xml:space="preserve"> </w:t>
            </w:r>
            <w:r w:rsidR="00D03D87" w:rsidRPr="009A7CD7">
              <w:rPr>
                <w:color w:val="000000"/>
                <w:sz w:val="22"/>
                <w:szCs w:val="22"/>
              </w:rPr>
              <w:t>1.258.215</w:t>
            </w:r>
          </w:p>
        </w:tc>
      </w:tr>
      <w:tr w:rsidR="00D03D87" w:rsidRPr="009A7CD7" w14:paraId="0659CD45" w14:textId="77777777" w:rsidTr="00182CC8">
        <w:trPr>
          <w:trHeight w:val="310"/>
          <w:jc w:val="center"/>
        </w:trPr>
        <w:tc>
          <w:tcPr>
            <w:tcW w:w="2900" w:type="dxa"/>
            <w:tcBorders>
              <w:top w:val="nil"/>
              <w:left w:val="single" w:sz="4" w:space="0" w:color="auto"/>
              <w:bottom w:val="single" w:sz="4" w:space="0" w:color="auto"/>
              <w:right w:val="single" w:sz="4" w:space="0" w:color="auto"/>
            </w:tcBorders>
            <w:noWrap/>
            <w:vAlign w:val="bottom"/>
            <w:hideMark/>
          </w:tcPr>
          <w:p w14:paraId="0FF0B5CB" w14:textId="77777777" w:rsidR="00D03D87" w:rsidRPr="009A7CD7" w:rsidRDefault="00D03D87" w:rsidP="006E1DA8">
            <w:pPr>
              <w:rPr>
                <w:color w:val="000000"/>
                <w:sz w:val="22"/>
                <w:szCs w:val="22"/>
              </w:rPr>
            </w:pPr>
            <w:r w:rsidRPr="009A7CD7">
              <w:rPr>
                <w:color w:val="000000"/>
                <w:sz w:val="22"/>
                <w:szCs w:val="22"/>
              </w:rPr>
              <w:t>Lombardia</w:t>
            </w:r>
          </w:p>
        </w:tc>
        <w:tc>
          <w:tcPr>
            <w:tcW w:w="2057" w:type="dxa"/>
            <w:tcBorders>
              <w:top w:val="nil"/>
              <w:left w:val="nil"/>
              <w:bottom w:val="single" w:sz="4" w:space="0" w:color="auto"/>
              <w:right w:val="single" w:sz="4" w:space="0" w:color="auto"/>
            </w:tcBorders>
            <w:noWrap/>
            <w:vAlign w:val="bottom"/>
            <w:hideMark/>
          </w:tcPr>
          <w:p w14:paraId="207AEF36" w14:textId="77777777" w:rsidR="00D03D87" w:rsidRPr="009A7CD7" w:rsidRDefault="00D03D87" w:rsidP="006E1DA8">
            <w:pPr>
              <w:jc w:val="center"/>
              <w:rPr>
                <w:color w:val="000000"/>
                <w:sz w:val="22"/>
                <w:szCs w:val="22"/>
              </w:rPr>
            </w:pPr>
            <w:r w:rsidRPr="009A7CD7">
              <w:rPr>
                <w:color w:val="000000"/>
                <w:sz w:val="22"/>
                <w:szCs w:val="22"/>
              </w:rPr>
              <w:t>135.239.000</w:t>
            </w:r>
          </w:p>
        </w:tc>
        <w:tc>
          <w:tcPr>
            <w:tcW w:w="2268" w:type="dxa"/>
            <w:tcBorders>
              <w:top w:val="nil"/>
              <w:left w:val="nil"/>
              <w:bottom w:val="single" w:sz="4" w:space="0" w:color="auto"/>
              <w:right w:val="single" w:sz="4" w:space="0" w:color="auto"/>
            </w:tcBorders>
            <w:noWrap/>
            <w:vAlign w:val="bottom"/>
            <w:hideMark/>
          </w:tcPr>
          <w:p w14:paraId="2737A284" w14:textId="60ADD998" w:rsidR="00D03D87" w:rsidRPr="009A7CD7" w:rsidRDefault="00BF1F4F" w:rsidP="006E1DA8">
            <w:pPr>
              <w:jc w:val="center"/>
              <w:rPr>
                <w:color w:val="000000"/>
                <w:sz w:val="22"/>
                <w:szCs w:val="22"/>
              </w:rPr>
            </w:pPr>
            <w:r w:rsidRPr="009A7CD7">
              <w:rPr>
                <w:color w:val="000000"/>
                <w:sz w:val="22"/>
                <w:szCs w:val="22"/>
              </w:rPr>
              <w:t>-</w:t>
            </w:r>
            <w:r w:rsidR="00761EFB" w:rsidRPr="009A7CD7">
              <w:rPr>
                <w:color w:val="000000"/>
                <w:sz w:val="22"/>
                <w:szCs w:val="22"/>
              </w:rPr>
              <w:t xml:space="preserve"> - - </w:t>
            </w:r>
          </w:p>
        </w:tc>
        <w:tc>
          <w:tcPr>
            <w:tcW w:w="2835" w:type="dxa"/>
            <w:tcBorders>
              <w:top w:val="nil"/>
              <w:left w:val="nil"/>
              <w:bottom w:val="single" w:sz="4" w:space="0" w:color="auto"/>
              <w:right w:val="single" w:sz="4" w:space="0" w:color="auto"/>
            </w:tcBorders>
            <w:noWrap/>
            <w:vAlign w:val="bottom"/>
            <w:hideMark/>
          </w:tcPr>
          <w:p w14:paraId="1C6268C3" w14:textId="28D60F6E" w:rsidR="00D03D87" w:rsidRPr="009A7CD7" w:rsidRDefault="00E519E9" w:rsidP="006E1DA8">
            <w:pPr>
              <w:jc w:val="center"/>
              <w:rPr>
                <w:color w:val="000000"/>
                <w:sz w:val="22"/>
                <w:szCs w:val="22"/>
              </w:rPr>
            </w:pPr>
            <w:r w:rsidRPr="009A7CD7">
              <w:rPr>
                <w:color w:val="000000"/>
                <w:sz w:val="22"/>
                <w:szCs w:val="22"/>
              </w:rPr>
              <w:t xml:space="preserve">- </w:t>
            </w:r>
            <w:r w:rsidR="00BF1F4F" w:rsidRPr="009A7CD7">
              <w:rPr>
                <w:color w:val="000000"/>
                <w:sz w:val="22"/>
                <w:szCs w:val="22"/>
              </w:rPr>
              <w:t>-</w:t>
            </w:r>
            <w:r w:rsidRPr="009A7CD7">
              <w:rPr>
                <w:color w:val="000000"/>
                <w:sz w:val="22"/>
                <w:szCs w:val="22"/>
              </w:rPr>
              <w:t xml:space="preserve"> -</w:t>
            </w:r>
          </w:p>
        </w:tc>
      </w:tr>
      <w:tr w:rsidR="00D03D87" w:rsidRPr="009A7CD7" w14:paraId="6BE667D6" w14:textId="77777777" w:rsidTr="00182CC8">
        <w:trPr>
          <w:trHeight w:val="310"/>
          <w:jc w:val="center"/>
        </w:trPr>
        <w:tc>
          <w:tcPr>
            <w:tcW w:w="2900" w:type="dxa"/>
            <w:tcBorders>
              <w:top w:val="nil"/>
              <w:left w:val="single" w:sz="4" w:space="0" w:color="auto"/>
              <w:bottom w:val="single" w:sz="4" w:space="0" w:color="auto"/>
              <w:right w:val="single" w:sz="4" w:space="0" w:color="auto"/>
            </w:tcBorders>
            <w:noWrap/>
            <w:vAlign w:val="bottom"/>
            <w:hideMark/>
          </w:tcPr>
          <w:p w14:paraId="3E248E08" w14:textId="77777777" w:rsidR="00D03D87" w:rsidRPr="009A7CD7" w:rsidRDefault="00D03D87" w:rsidP="006E1DA8">
            <w:pPr>
              <w:rPr>
                <w:color w:val="000000"/>
                <w:sz w:val="22"/>
                <w:szCs w:val="22"/>
              </w:rPr>
            </w:pPr>
            <w:r w:rsidRPr="009A7CD7">
              <w:rPr>
                <w:color w:val="000000"/>
                <w:sz w:val="22"/>
                <w:szCs w:val="22"/>
              </w:rPr>
              <w:t>Marche</w:t>
            </w:r>
          </w:p>
        </w:tc>
        <w:tc>
          <w:tcPr>
            <w:tcW w:w="2057" w:type="dxa"/>
            <w:tcBorders>
              <w:top w:val="nil"/>
              <w:left w:val="nil"/>
              <w:bottom w:val="single" w:sz="4" w:space="0" w:color="auto"/>
              <w:right w:val="single" w:sz="4" w:space="0" w:color="auto"/>
            </w:tcBorders>
            <w:noWrap/>
            <w:vAlign w:val="bottom"/>
            <w:hideMark/>
          </w:tcPr>
          <w:p w14:paraId="1B69AB11" w14:textId="77777777" w:rsidR="00D03D87" w:rsidRPr="009A7CD7" w:rsidRDefault="00D03D87" w:rsidP="006E1DA8">
            <w:pPr>
              <w:jc w:val="center"/>
              <w:rPr>
                <w:color w:val="000000"/>
                <w:sz w:val="22"/>
                <w:szCs w:val="22"/>
              </w:rPr>
            </w:pPr>
            <w:r w:rsidRPr="009A7CD7">
              <w:rPr>
                <w:color w:val="000000"/>
                <w:sz w:val="22"/>
                <w:szCs w:val="22"/>
              </w:rPr>
              <w:t>23.771.000</w:t>
            </w:r>
          </w:p>
        </w:tc>
        <w:tc>
          <w:tcPr>
            <w:tcW w:w="2268" w:type="dxa"/>
            <w:tcBorders>
              <w:top w:val="nil"/>
              <w:left w:val="nil"/>
              <w:bottom w:val="single" w:sz="4" w:space="0" w:color="auto"/>
              <w:right w:val="single" w:sz="4" w:space="0" w:color="auto"/>
            </w:tcBorders>
            <w:noWrap/>
            <w:vAlign w:val="bottom"/>
            <w:hideMark/>
          </w:tcPr>
          <w:p w14:paraId="3FD45CB4" w14:textId="6F3BEE72" w:rsidR="00D03D87" w:rsidRPr="009A7CD7" w:rsidRDefault="00BF1F4F" w:rsidP="006E1DA8">
            <w:pPr>
              <w:jc w:val="center"/>
              <w:rPr>
                <w:color w:val="000000"/>
                <w:sz w:val="22"/>
                <w:szCs w:val="22"/>
              </w:rPr>
            </w:pPr>
            <w:r w:rsidRPr="009A7CD7">
              <w:rPr>
                <w:color w:val="000000"/>
                <w:sz w:val="22"/>
                <w:szCs w:val="22"/>
              </w:rPr>
              <w:t>-</w:t>
            </w:r>
            <w:r w:rsidR="00761EFB" w:rsidRPr="009A7CD7">
              <w:rPr>
                <w:color w:val="000000"/>
                <w:sz w:val="22"/>
                <w:szCs w:val="22"/>
              </w:rPr>
              <w:t xml:space="preserve"> - -</w:t>
            </w:r>
          </w:p>
        </w:tc>
        <w:tc>
          <w:tcPr>
            <w:tcW w:w="2835" w:type="dxa"/>
            <w:tcBorders>
              <w:top w:val="nil"/>
              <w:left w:val="nil"/>
              <w:bottom w:val="single" w:sz="4" w:space="0" w:color="auto"/>
              <w:right w:val="single" w:sz="4" w:space="0" w:color="auto"/>
            </w:tcBorders>
            <w:noWrap/>
            <w:vAlign w:val="bottom"/>
            <w:hideMark/>
          </w:tcPr>
          <w:p w14:paraId="50F541B4" w14:textId="597E3F4F" w:rsidR="00D03D87" w:rsidRPr="009A7CD7" w:rsidRDefault="00E519E9" w:rsidP="006E1DA8">
            <w:pPr>
              <w:jc w:val="center"/>
              <w:rPr>
                <w:color w:val="000000"/>
                <w:sz w:val="22"/>
                <w:szCs w:val="22"/>
              </w:rPr>
            </w:pPr>
            <w:r w:rsidRPr="009A7CD7">
              <w:rPr>
                <w:color w:val="000000"/>
                <w:sz w:val="22"/>
                <w:szCs w:val="22"/>
              </w:rPr>
              <w:t xml:space="preserve">- </w:t>
            </w:r>
            <w:r w:rsidR="00BF1F4F" w:rsidRPr="009A7CD7">
              <w:rPr>
                <w:color w:val="000000"/>
                <w:sz w:val="22"/>
                <w:szCs w:val="22"/>
              </w:rPr>
              <w:t>-</w:t>
            </w:r>
            <w:r w:rsidRPr="009A7CD7">
              <w:rPr>
                <w:color w:val="000000"/>
                <w:sz w:val="22"/>
                <w:szCs w:val="22"/>
              </w:rPr>
              <w:t xml:space="preserve"> -</w:t>
            </w:r>
          </w:p>
        </w:tc>
      </w:tr>
      <w:tr w:rsidR="00D03D87" w:rsidRPr="009A7CD7" w14:paraId="1ACA56BA" w14:textId="77777777" w:rsidTr="00182CC8">
        <w:trPr>
          <w:trHeight w:val="310"/>
          <w:jc w:val="center"/>
        </w:trPr>
        <w:tc>
          <w:tcPr>
            <w:tcW w:w="2900" w:type="dxa"/>
            <w:tcBorders>
              <w:top w:val="nil"/>
              <w:left w:val="single" w:sz="4" w:space="0" w:color="auto"/>
              <w:bottom w:val="single" w:sz="4" w:space="0" w:color="auto"/>
              <w:right w:val="single" w:sz="4" w:space="0" w:color="auto"/>
            </w:tcBorders>
            <w:noWrap/>
            <w:vAlign w:val="bottom"/>
            <w:hideMark/>
          </w:tcPr>
          <w:p w14:paraId="012A6798" w14:textId="77777777" w:rsidR="00D03D87" w:rsidRPr="009A7CD7" w:rsidRDefault="00D03D87" w:rsidP="006E1DA8">
            <w:pPr>
              <w:rPr>
                <w:color w:val="000000"/>
                <w:sz w:val="22"/>
                <w:szCs w:val="22"/>
              </w:rPr>
            </w:pPr>
            <w:r w:rsidRPr="009A7CD7">
              <w:rPr>
                <w:color w:val="000000"/>
                <w:sz w:val="22"/>
                <w:szCs w:val="22"/>
              </w:rPr>
              <w:t>Molise</w:t>
            </w:r>
          </w:p>
        </w:tc>
        <w:tc>
          <w:tcPr>
            <w:tcW w:w="2057" w:type="dxa"/>
            <w:tcBorders>
              <w:top w:val="nil"/>
              <w:left w:val="nil"/>
              <w:bottom w:val="single" w:sz="4" w:space="0" w:color="auto"/>
              <w:right w:val="single" w:sz="4" w:space="0" w:color="auto"/>
            </w:tcBorders>
            <w:noWrap/>
            <w:vAlign w:val="bottom"/>
            <w:hideMark/>
          </w:tcPr>
          <w:p w14:paraId="52D4E698" w14:textId="77777777" w:rsidR="00D03D87" w:rsidRPr="009A7CD7" w:rsidRDefault="00D03D87" w:rsidP="006E1DA8">
            <w:pPr>
              <w:jc w:val="center"/>
              <w:rPr>
                <w:color w:val="000000"/>
                <w:sz w:val="22"/>
                <w:szCs w:val="22"/>
              </w:rPr>
            </w:pPr>
            <w:r w:rsidRPr="009A7CD7">
              <w:rPr>
                <w:color w:val="000000"/>
                <w:sz w:val="22"/>
                <w:szCs w:val="22"/>
              </w:rPr>
              <w:t>5.518.000</w:t>
            </w:r>
          </w:p>
        </w:tc>
        <w:tc>
          <w:tcPr>
            <w:tcW w:w="2268" w:type="dxa"/>
            <w:tcBorders>
              <w:top w:val="nil"/>
              <w:left w:val="nil"/>
              <w:bottom w:val="single" w:sz="4" w:space="0" w:color="auto"/>
              <w:right w:val="single" w:sz="4" w:space="0" w:color="auto"/>
            </w:tcBorders>
            <w:noWrap/>
            <w:vAlign w:val="bottom"/>
            <w:hideMark/>
          </w:tcPr>
          <w:p w14:paraId="4C9F2DC9" w14:textId="4BF98FE1" w:rsidR="00D03D87" w:rsidRPr="009A7CD7" w:rsidRDefault="00200CB7" w:rsidP="006E1DA8">
            <w:pPr>
              <w:jc w:val="center"/>
              <w:rPr>
                <w:color w:val="000000"/>
                <w:sz w:val="22"/>
                <w:szCs w:val="22"/>
              </w:rPr>
            </w:pPr>
            <w:r w:rsidRPr="009A7CD7">
              <w:rPr>
                <w:color w:val="000000"/>
                <w:sz w:val="22"/>
                <w:szCs w:val="22"/>
              </w:rPr>
              <w:t>+</w:t>
            </w:r>
            <w:r w:rsidR="00145B03" w:rsidRPr="009A7CD7">
              <w:rPr>
                <w:color w:val="000000"/>
                <w:sz w:val="22"/>
                <w:szCs w:val="22"/>
              </w:rPr>
              <w:t xml:space="preserve"> </w:t>
            </w:r>
            <w:r w:rsidR="00D03D87" w:rsidRPr="009A7CD7">
              <w:rPr>
                <w:color w:val="000000"/>
                <w:sz w:val="22"/>
                <w:szCs w:val="22"/>
              </w:rPr>
              <w:t>953.468</w:t>
            </w:r>
          </w:p>
        </w:tc>
        <w:tc>
          <w:tcPr>
            <w:tcW w:w="2835" w:type="dxa"/>
            <w:tcBorders>
              <w:top w:val="nil"/>
              <w:left w:val="nil"/>
              <w:bottom w:val="single" w:sz="4" w:space="0" w:color="auto"/>
              <w:right w:val="single" w:sz="4" w:space="0" w:color="auto"/>
            </w:tcBorders>
            <w:noWrap/>
            <w:vAlign w:val="bottom"/>
            <w:hideMark/>
          </w:tcPr>
          <w:p w14:paraId="11AC51C9" w14:textId="40119510" w:rsidR="00D03D87" w:rsidRPr="009A7CD7" w:rsidRDefault="00200CB7" w:rsidP="006E1DA8">
            <w:pPr>
              <w:jc w:val="center"/>
              <w:rPr>
                <w:color w:val="000000"/>
                <w:sz w:val="22"/>
                <w:szCs w:val="22"/>
              </w:rPr>
            </w:pPr>
            <w:r w:rsidRPr="009A7CD7">
              <w:rPr>
                <w:color w:val="000000"/>
                <w:sz w:val="22"/>
                <w:szCs w:val="22"/>
              </w:rPr>
              <w:t>+</w:t>
            </w:r>
            <w:r w:rsidR="00145B03" w:rsidRPr="009A7CD7">
              <w:rPr>
                <w:color w:val="000000"/>
                <w:sz w:val="22"/>
                <w:szCs w:val="22"/>
              </w:rPr>
              <w:t xml:space="preserve"> </w:t>
            </w:r>
            <w:r w:rsidR="00D03D87" w:rsidRPr="009A7CD7">
              <w:rPr>
                <w:color w:val="000000"/>
                <w:sz w:val="22"/>
                <w:szCs w:val="22"/>
              </w:rPr>
              <w:t>875.189</w:t>
            </w:r>
          </w:p>
        </w:tc>
      </w:tr>
      <w:tr w:rsidR="00D03D87" w:rsidRPr="009A7CD7" w14:paraId="44610693" w14:textId="77777777" w:rsidTr="00182CC8">
        <w:trPr>
          <w:trHeight w:val="310"/>
          <w:jc w:val="center"/>
        </w:trPr>
        <w:tc>
          <w:tcPr>
            <w:tcW w:w="2900" w:type="dxa"/>
            <w:tcBorders>
              <w:top w:val="nil"/>
              <w:left w:val="single" w:sz="4" w:space="0" w:color="auto"/>
              <w:bottom w:val="single" w:sz="4" w:space="0" w:color="auto"/>
              <w:right w:val="single" w:sz="4" w:space="0" w:color="auto"/>
            </w:tcBorders>
            <w:noWrap/>
            <w:vAlign w:val="bottom"/>
            <w:hideMark/>
          </w:tcPr>
          <w:p w14:paraId="5F6DD4B7" w14:textId="77777777" w:rsidR="00D03D87" w:rsidRPr="009A7CD7" w:rsidRDefault="00D03D87" w:rsidP="006E1DA8">
            <w:pPr>
              <w:rPr>
                <w:color w:val="000000"/>
                <w:sz w:val="22"/>
                <w:szCs w:val="22"/>
              </w:rPr>
            </w:pPr>
            <w:r w:rsidRPr="009A7CD7">
              <w:rPr>
                <w:color w:val="000000"/>
                <w:sz w:val="22"/>
                <w:szCs w:val="22"/>
              </w:rPr>
              <w:t>Piemonte</w:t>
            </w:r>
          </w:p>
        </w:tc>
        <w:tc>
          <w:tcPr>
            <w:tcW w:w="2057" w:type="dxa"/>
            <w:tcBorders>
              <w:top w:val="nil"/>
              <w:left w:val="nil"/>
              <w:bottom w:val="single" w:sz="4" w:space="0" w:color="auto"/>
              <w:right w:val="single" w:sz="4" w:space="0" w:color="auto"/>
            </w:tcBorders>
            <w:noWrap/>
            <w:vAlign w:val="bottom"/>
            <w:hideMark/>
          </w:tcPr>
          <w:p w14:paraId="138664B3" w14:textId="77777777" w:rsidR="00D03D87" w:rsidRPr="009A7CD7" w:rsidRDefault="00D03D87" w:rsidP="006E1DA8">
            <w:pPr>
              <w:jc w:val="center"/>
              <w:rPr>
                <w:color w:val="000000"/>
                <w:sz w:val="22"/>
                <w:szCs w:val="22"/>
              </w:rPr>
            </w:pPr>
            <w:r w:rsidRPr="009A7CD7">
              <w:rPr>
                <w:color w:val="000000"/>
                <w:sz w:val="22"/>
                <w:szCs w:val="22"/>
              </w:rPr>
              <w:t>67.153.000</w:t>
            </w:r>
          </w:p>
        </w:tc>
        <w:tc>
          <w:tcPr>
            <w:tcW w:w="2268" w:type="dxa"/>
            <w:tcBorders>
              <w:top w:val="nil"/>
              <w:left w:val="nil"/>
              <w:bottom w:val="single" w:sz="4" w:space="0" w:color="auto"/>
              <w:right w:val="single" w:sz="4" w:space="0" w:color="auto"/>
            </w:tcBorders>
            <w:noWrap/>
            <w:vAlign w:val="bottom"/>
            <w:hideMark/>
          </w:tcPr>
          <w:p w14:paraId="25D1CFF1" w14:textId="7D9056FB" w:rsidR="00D03D87" w:rsidRPr="009A7CD7" w:rsidRDefault="00200CB7" w:rsidP="006E1DA8">
            <w:pPr>
              <w:jc w:val="center"/>
              <w:rPr>
                <w:color w:val="000000"/>
                <w:sz w:val="22"/>
                <w:szCs w:val="22"/>
              </w:rPr>
            </w:pPr>
            <w:r w:rsidRPr="009A7CD7">
              <w:rPr>
                <w:color w:val="000000"/>
                <w:sz w:val="22"/>
                <w:szCs w:val="22"/>
              </w:rPr>
              <w:t>+</w:t>
            </w:r>
            <w:r w:rsidR="00145B03" w:rsidRPr="009A7CD7">
              <w:rPr>
                <w:color w:val="000000"/>
                <w:sz w:val="22"/>
                <w:szCs w:val="22"/>
              </w:rPr>
              <w:t xml:space="preserve"> </w:t>
            </w:r>
            <w:r w:rsidR="00D03D87" w:rsidRPr="009A7CD7">
              <w:rPr>
                <w:color w:val="000000"/>
                <w:sz w:val="22"/>
                <w:szCs w:val="22"/>
              </w:rPr>
              <w:t>2.156.131</w:t>
            </w:r>
          </w:p>
        </w:tc>
        <w:tc>
          <w:tcPr>
            <w:tcW w:w="2835" w:type="dxa"/>
            <w:tcBorders>
              <w:top w:val="nil"/>
              <w:left w:val="nil"/>
              <w:bottom w:val="single" w:sz="4" w:space="0" w:color="auto"/>
              <w:right w:val="single" w:sz="4" w:space="0" w:color="auto"/>
            </w:tcBorders>
            <w:noWrap/>
            <w:vAlign w:val="bottom"/>
            <w:hideMark/>
          </w:tcPr>
          <w:p w14:paraId="7D230AC4" w14:textId="2565E906" w:rsidR="00D03D87" w:rsidRPr="009A7CD7" w:rsidRDefault="00200CB7" w:rsidP="006E1DA8">
            <w:pPr>
              <w:jc w:val="center"/>
              <w:rPr>
                <w:color w:val="000000"/>
                <w:sz w:val="22"/>
                <w:szCs w:val="22"/>
              </w:rPr>
            </w:pPr>
            <w:r w:rsidRPr="009A7CD7">
              <w:rPr>
                <w:color w:val="000000"/>
                <w:sz w:val="22"/>
                <w:szCs w:val="22"/>
              </w:rPr>
              <w:t>+</w:t>
            </w:r>
            <w:r w:rsidR="00145B03" w:rsidRPr="009A7CD7">
              <w:rPr>
                <w:color w:val="000000"/>
                <w:sz w:val="22"/>
                <w:szCs w:val="22"/>
              </w:rPr>
              <w:t xml:space="preserve"> </w:t>
            </w:r>
            <w:r w:rsidR="00D03D87" w:rsidRPr="009A7CD7">
              <w:rPr>
                <w:color w:val="000000"/>
                <w:sz w:val="22"/>
                <w:szCs w:val="22"/>
              </w:rPr>
              <w:t>1.010.311</w:t>
            </w:r>
          </w:p>
        </w:tc>
      </w:tr>
      <w:tr w:rsidR="00D03D87" w:rsidRPr="009A7CD7" w14:paraId="48758AB3" w14:textId="77777777" w:rsidTr="00182CC8">
        <w:trPr>
          <w:trHeight w:val="310"/>
          <w:jc w:val="center"/>
        </w:trPr>
        <w:tc>
          <w:tcPr>
            <w:tcW w:w="2900" w:type="dxa"/>
            <w:tcBorders>
              <w:top w:val="nil"/>
              <w:left w:val="single" w:sz="4" w:space="0" w:color="auto"/>
              <w:bottom w:val="single" w:sz="4" w:space="0" w:color="auto"/>
              <w:right w:val="single" w:sz="4" w:space="0" w:color="auto"/>
            </w:tcBorders>
            <w:noWrap/>
            <w:vAlign w:val="bottom"/>
            <w:hideMark/>
          </w:tcPr>
          <w:p w14:paraId="59461B87" w14:textId="77777777" w:rsidR="00D03D87" w:rsidRPr="009A7CD7" w:rsidRDefault="00D03D87" w:rsidP="006E1DA8">
            <w:pPr>
              <w:rPr>
                <w:color w:val="000000"/>
                <w:sz w:val="22"/>
                <w:szCs w:val="22"/>
              </w:rPr>
            </w:pPr>
            <w:r w:rsidRPr="009A7CD7">
              <w:rPr>
                <w:color w:val="000000"/>
                <w:sz w:val="22"/>
                <w:szCs w:val="22"/>
              </w:rPr>
              <w:t>Puglia</w:t>
            </w:r>
          </w:p>
        </w:tc>
        <w:tc>
          <w:tcPr>
            <w:tcW w:w="2057" w:type="dxa"/>
            <w:tcBorders>
              <w:top w:val="nil"/>
              <w:left w:val="nil"/>
              <w:bottom w:val="single" w:sz="4" w:space="0" w:color="auto"/>
              <w:right w:val="single" w:sz="4" w:space="0" w:color="auto"/>
            </w:tcBorders>
            <w:noWrap/>
            <w:vAlign w:val="bottom"/>
            <w:hideMark/>
          </w:tcPr>
          <w:p w14:paraId="719AF9FC" w14:textId="77777777" w:rsidR="00D03D87" w:rsidRPr="009A7CD7" w:rsidRDefault="00D03D87" w:rsidP="006E1DA8">
            <w:pPr>
              <w:jc w:val="center"/>
              <w:rPr>
                <w:color w:val="000000"/>
                <w:sz w:val="22"/>
                <w:szCs w:val="22"/>
              </w:rPr>
            </w:pPr>
            <w:r w:rsidRPr="009A7CD7">
              <w:rPr>
                <w:color w:val="000000"/>
                <w:sz w:val="22"/>
                <w:szCs w:val="22"/>
              </w:rPr>
              <w:t>56.711.000</w:t>
            </w:r>
          </w:p>
        </w:tc>
        <w:tc>
          <w:tcPr>
            <w:tcW w:w="2268" w:type="dxa"/>
            <w:tcBorders>
              <w:top w:val="nil"/>
              <w:left w:val="nil"/>
              <w:bottom w:val="single" w:sz="4" w:space="0" w:color="auto"/>
              <w:right w:val="single" w:sz="4" w:space="0" w:color="auto"/>
            </w:tcBorders>
            <w:noWrap/>
            <w:vAlign w:val="bottom"/>
            <w:hideMark/>
          </w:tcPr>
          <w:p w14:paraId="6175209F" w14:textId="6102BF1F" w:rsidR="00D03D87" w:rsidRPr="009A7CD7" w:rsidRDefault="00637DF5" w:rsidP="006E1DA8">
            <w:pPr>
              <w:jc w:val="center"/>
              <w:rPr>
                <w:color w:val="000000"/>
                <w:sz w:val="22"/>
                <w:szCs w:val="22"/>
              </w:rPr>
            </w:pPr>
            <w:r w:rsidRPr="009A7CD7">
              <w:rPr>
                <w:color w:val="000000"/>
                <w:sz w:val="22"/>
                <w:szCs w:val="22"/>
              </w:rPr>
              <w:t>-</w:t>
            </w:r>
            <w:r w:rsidR="00145B03" w:rsidRPr="009A7CD7">
              <w:rPr>
                <w:color w:val="000000"/>
                <w:sz w:val="22"/>
                <w:szCs w:val="22"/>
              </w:rPr>
              <w:t xml:space="preserve"> - - </w:t>
            </w:r>
          </w:p>
        </w:tc>
        <w:tc>
          <w:tcPr>
            <w:tcW w:w="2835" w:type="dxa"/>
            <w:tcBorders>
              <w:top w:val="nil"/>
              <w:left w:val="nil"/>
              <w:bottom w:val="single" w:sz="4" w:space="0" w:color="auto"/>
              <w:right w:val="single" w:sz="4" w:space="0" w:color="auto"/>
            </w:tcBorders>
            <w:noWrap/>
            <w:vAlign w:val="bottom"/>
            <w:hideMark/>
          </w:tcPr>
          <w:p w14:paraId="65715923" w14:textId="049A87A7" w:rsidR="00D03D87" w:rsidRPr="009A7CD7" w:rsidRDefault="00145B03" w:rsidP="006E1DA8">
            <w:pPr>
              <w:jc w:val="center"/>
              <w:rPr>
                <w:color w:val="000000"/>
                <w:sz w:val="22"/>
                <w:szCs w:val="22"/>
              </w:rPr>
            </w:pPr>
            <w:r w:rsidRPr="009A7CD7">
              <w:rPr>
                <w:color w:val="000000"/>
                <w:sz w:val="22"/>
                <w:szCs w:val="22"/>
              </w:rPr>
              <w:t xml:space="preserve">- </w:t>
            </w:r>
            <w:r w:rsidR="00637DF5" w:rsidRPr="009A7CD7">
              <w:rPr>
                <w:color w:val="000000"/>
                <w:sz w:val="22"/>
                <w:szCs w:val="22"/>
              </w:rPr>
              <w:t>-</w:t>
            </w:r>
            <w:r w:rsidRPr="009A7CD7">
              <w:rPr>
                <w:color w:val="000000"/>
                <w:sz w:val="22"/>
                <w:szCs w:val="22"/>
              </w:rPr>
              <w:t xml:space="preserve"> -</w:t>
            </w:r>
          </w:p>
        </w:tc>
      </w:tr>
      <w:tr w:rsidR="00D03D87" w:rsidRPr="009A7CD7" w14:paraId="36713404" w14:textId="77777777" w:rsidTr="00182CC8">
        <w:trPr>
          <w:trHeight w:val="310"/>
          <w:jc w:val="center"/>
        </w:trPr>
        <w:tc>
          <w:tcPr>
            <w:tcW w:w="2900" w:type="dxa"/>
            <w:tcBorders>
              <w:top w:val="nil"/>
              <w:left w:val="single" w:sz="4" w:space="0" w:color="auto"/>
              <w:bottom w:val="single" w:sz="4" w:space="0" w:color="auto"/>
              <w:right w:val="single" w:sz="4" w:space="0" w:color="auto"/>
            </w:tcBorders>
            <w:noWrap/>
            <w:vAlign w:val="bottom"/>
            <w:hideMark/>
          </w:tcPr>
          <w:p w14:paraId="6056DFF3" w14:textId="77777777" w:rsidR="00D03D87" w:rsidRPr="009A7CD7" w:rsidRDefault="00D03D87" w:rsidP="006E1DA8">
            <w:pPr>
              <w:rPr>
                <w:color w:val="000000"/>
                <w:sz w:val="22"/>
                <w:szCs w:val="22"/>
              </w:rPr>
            </w:pPr>
            <w:r w:rsidRPr="009A7CD7">
              <w:rPr>
                <w:color w:val="000000"/>
                <w:sz w:val="22"/>
                <w:szCs w:val="22"/>
              </w:rPr>
              <w:t>Sardegna</w:t>
            </w:r>
          </w:p>
        </w:tc>
        <w:tc>
          <w:tcPr>
            <w:tcW w:w="2057" w:type="dxa"/>
            <w:tcBorders>
              <w:top w:val="nil"/>
              <w:left w:val="nil"/>
              <w:bottom w:val="single" w:sz="4" w:space="0" w:color="auto"/>
              <w:right w:val="single" w:sz="4" w:space="0" w:color="auto"/>
            </w:tcBorders>
            <w:noWrap/>
            <w:vAlign w:val="bottom"/>
            <w:hideMark/>
          </w:tcPr>
          <w:p w14:paraId="7FDA4ED5" w14:textId="77777777" w:rsidR="00D03D87" w:rsidRPr="009A7CD7" w:rsidRDefault="00D03D87" w:rsidP="006E1DA8">
            <w:pPr>
              <w:jc w:val="center"/>
              <w:rPr>
                <w:color w:val="000000"/>
                <w:sz w:val="22"/>
                <w:szCs w:val="22"/>
              </w:rPr>
            </w:pPr>
            <w:r w:rsidRPr="009A7CD7">
              <w:rPr>
                <w:color w:val="000000"/>
                <w:sz w:val="22"/>
                <w:szCs w:val="22"/>
              </w:rPr>
              <w:t>24.790.000</w:t>
            </w:r>
          </w:p>
        </w:tc>
        <w:tc>
          <w:tcPr>
            <w:tcW w:w="2268" w:type="dxa"/>
            <w:tcBorders>
              <w:top w:val="nil"/>
              <w:left w:val="nil"/>
              <w:bottom w:val="single" w:sz="4" w:space="0" w:color="auto"/>
              <w:right w:val="single" w:sz="4" w:space="0" w:color="auto"/>
            </w:tcBorders>
            <w:noWrap/>
            <w:vAlign w:val="bottom"/>
            <w:hideMark/>
          </w:tcPr>
          <w:p w14:paraId="750F2E3F" w14:textId="63186FBB" w:rsidR="00D03D87" w:rsidRPr="009A7CD7" w:rsidRDefault="00145B03" w:rsidP="006E1DA8">
            <w:pPr>
              <w:jc w:val="center"/>
              <w:rPr>
                <w:color w:val="000000"/>
                <w:sz w:val="22"/>
                <w:szCs w:val="22"/>
              </w:rPr>
            </w:pPr>
            <w:r w:rsidRPr="009A7CD7">
              <w:rPr>
                <w:color w:val="000000"/>
                <w:sz w:val="22"/>
                <w:szCs w:val="22"/>
              </w:rPr>
              <w:t xml:space="preserve">- </w:t>
            </w:r>
            <w:r w:rsidR="00637DF5" w:rsidRPr="009A7CD7">
              <w:rPr>
                <w:color w:val="000000"/>
                <w:sz w:val="22"/>
                <w:szCs w:val="22"/>
              </w:rPr>
              <w:t>-</w:t>
            </w:r>
            <w:r w:rsidRPr="009A7CD7">
              <w:rPr>
                <w:color w:val="000000"/>
                <w:sz w:val="22"/>
                <w:szCs w:val="22"/>
              </w:rPr>
              <w:t xml:space="preserve"> -</w:t>
            </w:r>
          </w:p>
        </w:tc>
        <w:tc>
          <w:tcPr>
            <w:tcW w:w="2835" w:type="dxa"/>
            <w:tcBorders>
              <w:top w:val="nil"/>
              <w:left w:val="nil"/>
              <w:bottom w:val="single" w:sz="4" w:space="0" w:color="auto"/>
              <w:right w:val="single" w:sz="4" w:space="0" w:color="auto"/>
            </w:tcBorders>
            <w:noWrap/>
            <w:vAlign w:val="bottom"/>
            <w:hideMark/>
          </w:tcPr>
          <w:p w14:paraId="626E243D" w14:textId="181E51AD" w:rsidR="00D03D87" w:rsidRPr="009A7CD7" w:rsidRDefault="00145B03" w:rsidP="006E1DA8">
            <w:pPr>
              <w:jc w:val="center"/>
              <w:rPr>
                <w:color w:val="000000"/>
                <w:sz w:val="22"/>
                <w:szCs w:val="22"/>
              </w:rPr>
            </w:pPr>
            <w:r w:rsidRPr="009A7CD7">
              <w:rPr>
                <w:color w:val="000000"/>
                <w:sz w:val="22"/>
                <w:szCs w:val="22"/>
              </w:rPr>
              <w:t xml:space="preserve">- </w:t>
            </w:r>
            <w:r w:rsidR="00637DF5" w:rsidRPr="009A7CD7">
              <w:rPr>
                <w:color w:val="000000"/>
                <w:sz w:val="22"/>
                <w:szCs w:val="22"/>
              </w:rPr>
              <w:t>-</w:t>
            </w:r>
            <w:r w:rsidRPr="009A7CD7">
              <w:rPr>
                <w:color w:val="000000"/>
                <w:sz w:val="22"/>
                <w:szCs w:val="22"/>
              </w:rPr>
              <w:t xml:space="preserve"> -</w:t>
            </w:r>
          </w:p>
        </w:tc>
      </w:tr>
      <w:tr w:rsidR="00D03D87" w:rsidRPr="009A7CD7" w14:paraId="6E9C469A" w14:textId="77777777" w:rsidTr="00182CC8">
        <w:trPr>
          <w:trHeight w:val="310"/>
          <w:jc w:val="center"/>
        </w:trPr>
        <w:tc>
          <w:tcPr>
            <w:tcW w:w="2900" w:type="dxa"/>
            <w:tcBorders>
              <w:top w:val="nil"/>
              <w:left w:val="single" w:sz="4" w:space="0" w:color="auto"/>
              <w:bottom w:val="single" w:sz="4" w:space="0" w:color="auto"/>
              <w:right w:val="single" w:sz="4" w:space="0" w:color="auto"/>
            </w:tcBorders>
            <w:noWrap/>
            <w:vAlign w:val="bottom"/>
            <w:hideMark/>
          </w:tcPr>
          <w:p w14:paraId="2FE560F6" w14:textId="77777777" w:rsidR="00D03D87" w:rsidRPr="009A7CD7" w:rsidRDefault="00D03D87" w:rsidP="006E1DA8">
            <w:pPr>
              <w:rPr>
                <w:color w:val="000000"/>
                <w:sz w:val="22"/>
                <w:szCs w:val="22"/>
              </w:rPr>
            </w:pPr>
            <w:r w:rsidRPr="009A7CD7">
              <w:rPr>
                <w:color w:val="000000"/>
                <w:sz w:val="22"/>
                <w:szCs w:val="22"/>
              </w:rPr>
              <w:t>Sicilia</w:t>
            </w:r>
          </w:p>
        </w:tc>
        <w:tc>
          <w:tcPr>
            <w:tcW w:w="2057" w:type="dxa"/>
            <w:tcBorders>
              <w:top w:val="nil"/>
              <w:left w:val="nil"/>
              <w:bottom w:val="single" w:sz="4" w:space="0" w:color="auto"/>
              <w:right w:val="single" w:sz="4" w:space="0" w:color="auto"/>
            </w:tcBorders>
            <w:noWrap/>
            <w:vAlign w:val="bottom"/>
            <w:hideMark/>
          </w:tcPr>
          <w:p w14:paraId="0DC5793D" w14:textId="77777777" w:rsidR="00D03D87" w:rsidRPr="009A7CD7" w:rsidRDefault="00D03D87" w:rsidP="006E1DA8">
            <w:pPr>
              <w:jc w:val="center"/>
              <w:rPr>
                <w:color w:val="000000"/>
                <w:sz w:val="22"/>
                <w:szCs w:val="22"/>
              </w:rPr>
            </w:pPr>
            <w:r w:rsidRPr="009A7CD7">
              <w:rPr>
                <w:color w:val="000000"/>
                <w:sz w:val="22"/>
                <w:szCs w:val="22"/>
              </w:rPr>
              <w:t>69.530.000</w:t>
            </w:r>
          </w:p>
        </w:tc>
        <w:tc>
          <w:tcPr>
            <w:tcW w:w="2268" w:type="dxa"/>
            <w:tcBorders>
              <w:top w:val="nil"/>
              <w:left w:val="nil"/>
              <w:bottom w:val="single" w:sz="4" w:space="0" w:color="auto"/>
              <w:right w:val="single" w:sz="4" w:space="0" w:color="auto"/>
            </w:tcBorders>
            <w:noWrap/>
            <w:vAlign w:val="bottom"/>
            <w:hideMark/>
          </w:tcPr>
          <w:p w14:paraId="6BC8D1A7" w14:textId="51A95F2C" w:rsidR="00D03D87" w:rsidRPr="009A7CD7" w:rsidRDefault="00200CB7" w:rsidP="006E1DA8">
            <w:pPr>
              <w:jc w:val="center"/>
              <w:rPr>
                <w:color w:val="000000"/>
                <w:sz w:val="22"/>
                <w:szCs w:val="22"/>
              </w:rPr>
            </w:pPr>
            <w:r w:rsidRPr="009A7CD7">
              <w:rPr>
                <w:color w:val="000000"/>
                <w:sz w:val="22"/>
                <w:szCs w:val="22"/>
              </w:rPr>
              <w:t>+</w:t>
            </w:r>
            <w:r w:rsidR="00145B03" w:rsidRPr="009A7CD7">
              <w:rPr>
                <w:color w:val="000000"/>
                <w:sz w:val="22"/>
                <w:szCs w:val="22"/>
              </w:rPr>
              <w:t xml:space="preserve"> </w:t>
            </w:r>
            <w:r w:rsidR="00D03D87" w:rsidRPr="009A7CD7">
              <w:rPr>
                <w:color w:val="000000"/>
                <w:sz w:val="22"/>
                <w:szCs w:val="22"/>
              </w:rPr>
              <w:t>3.378.642</w:t>
            </w:r>
          </w:p>
        </w:tc>
        <w:tc>
          <w:tcPr>
            <w:tcW w:w="2835" w:type="dxa"/>
            <w:tcBorders>
              <w:top w:val="nil"/>
              <w:left w:val="nil"/>
              <w:bottom w:val="single" w:sz="4" w:space="0" w:color="auto"/>
              <w:right w:val="single" w:sz="4" w:space="0" w:color="auto"/>
            </w:tcBorders>
            <w:noWrap/>
            <w:vAlign w:val="bottom"/>
            <w:hideMark/>
          </w:tcPr>
          <w:p w14:paraId="121FF23A" w14:textId="69B50C93" w:rsidR="00D03D87" w:rsidRPr="009A7CD7" w:rsidRDefault="00200CB7" w:rsidP="006E1DA8">
            <w:pPr>
              <w:jc w:val="center"/>
              <w:rPr>
                <w:color w:val="000000"/>
                <w:sz w:val="22"/>
                <w:szCs w:val="22"/>
              </w:rPr>
            </w:pPr>
            <w:r w:rsidRPr="009A7CD7">
              <w:rPr>
                <w:color w:val="000000"/>
                <w:sz w:val="22"/>
                <w:szCs w:val="22"/>
              </w:rPr>
              <w:t>+</w:t>
            </w:r>
            <w:r w:rsidR="00145B03" w:rsidRPr="009A7CD7">
              <w:rPr>
                <w:color w:val="000000"/>
                <w:sz w:val="22"/>
                <w:szCs w:val="22"/>
              </w:rPr>
              <w:t xml:space="preserve"> </w:t>
            </w:r>
            <w:r w:rsidR="00D03D87" w:rsidRPr="009A7CD7">
              <w:rPr>
                <w:color w:val="000000"/>
                <w:sz w:val="22"/>
                <w:szCs w:val="22"/>
              </w:rPr>
              <w:t>2.241.847</w:t>
            </w:r>
          </w:p>
        </w:tc>
      </w:tr>
      <w:tr w:rsidR="00D03D87" w:rsidRPr="009A7CD7" w14:paraId="70D6326B" w14:textId="77777777" w:rsidTr="00182CC8">
        <w:trPr>
          <w:trHeight w:val="310"/>
          <w:jc w:val="center"/>
        </w:trPr>
        <w:tc>
          <w:tcPr>
            <w:tcW w:w="2900" w:type="dxa"/>
            <w:tcBorders>
              <w:top w:val="nil"/>
              <w:left w:val="single" w:sz="4" w:space="0" w:color="auto"/>
              <w:bottom w:val="single" w:sz="4" w:space="0" w:color="auto"/>
              <w:right w:val="single" w:sz="4" w:space="0" w:color="auto"/>
            </w:tcBorders>
            <w:noWrap/>
            <w:vAlign w:val="bottom"/>
            <w:hideMark/>
          </w:tcPr>
          <w:p w14:paraId="7C4D703D" w14:textId="77777777" w:rsidR="00D03D87" w:rsidRPr="009A7CD7" w:rsidRDefault="00D03D87" w:rsidP="006E1DA8">
            <w:pPr>
              <w:rPr>
                <w:color w:val="000000"/>
                <w:sz w:val="22"/>
                <w:szCs w:val="22"/>
              </w:rPr>
            </w:pPr>
            <w:r w:rsidRPr="009A7CD7">
              <w:rPr>
                <w:color w:val="000000"/>
                <w:sz w:val="22"/>
                <w:szCs w:val="22"/>
              </w:rPr>
              <w:t>Toscana</w:t>
            </w:r>
          </w:p>
        </w:tc>
        <w:tc>
          <w:tcPr>
            <w:tcW w:w="2057" w:type="dxa"/>
            <w:tcBorders>
              <w:top w:val="nil"/>
              <w:left w:val="nil"/>
              <w:bottom w:val="single" w:sz="4" w:space="0" w:color="auto"/>
              <w:right w:val="single" w:sz="4" w:space="0" w:color="auto"/>
            </w:tcBorders>
            <w:noWrap/>
            <w:vAlign w:val="bottom"/>
            <w:hideMark/>
          </w:tcPr>
          <w:p w14:paraId="41D7BC63" w14:textId="77777777" w:rsidR="00D03D87" w:rsidRPr="009A7CD7" w:rsidRDefault="00D03D87" w:rsidP="006E1DA8">
            <w:pPr>
              <w:jc w:val="center"/>
              <w:rPr>
                <w:color w:val="000000"/>
                <w:sz w:val="22"/>
                <w:szCs w:val="22"/>
              </w:rPr>
            </w:pPr>
            <w:r w:rsidRPr="009A7CD7">
              <w:rPr>
                <w:color w:val="000000"/>
                <w:sz w:val="22"/>
                <w:szCs w:val="22"/>
              </w:rPr>
              <w:t>59.597.000</w:t>
            </w:r>
          </w:p>
        </w:tc>
        <w:tc>
          <w:tcPr>
            <w:tcW w:w="2268" w:type="dxa"/>
            <w:tcBorders>
              <w:top w:val="nil"/>
              <w:left w:val="nil"/>
              <w:bottom w:val="single" w:sz="4" w:space="0" w:color="auto"/>
              <w:right w:val="single" w:sz="4" w:space="0" w:color="auto"/>
            </w:tcBorders>
            <w:noWrap/>
            <w:vAlign w:val="bottom"/>
            <w:hideMark/>
          </w:tcPr>
          <w:p w14:paraId="0C62EEEB" w14:textId="61B04B53" w:rsidR="00D03D87" w:rsidRPr="009A7CD7" w:rsidRDefault="00200CB7" w:rsidP="006E1DA8">
            <w:pPr>
              <w:jc w:val="center"/>
              <w:rPr>
                <w:color w:val="000000"/>
                <w:sz w:val="22"/>
                <w:szCs w:val="22"/>
              </w:rPr>
            </w:pPr>
            <w:r w:rsidRPr="009A7CD7">
              <w:rPr>
                <w:color w:val="000000"/>
                <w:sz w:val="22"/>
                <w:szCs w:val="22"/>
              </w:rPr>
              <w:t>+</w:t>
            </w:r>
            <w:r w:rsidR="00145B03" w:rsidRPr="009A7CD7">
              <w:rPr>
                <w:color w:val="000000"/>
                <w:sz w:val="22"/>
                <w:szCs w:val="22"/>
              </w:rPr>
              <w:t xml:space="preserve"> </w:t>
            </w:r>
            <w:r w:rsidR="00D03D87" w:rsidRPr="009A7CD7">
              <w:rPr>
                <w:color w:val="000000"/>
                <w:sz w:val="22"/>
                <w:szCs w:val="22"/>
              </w:rPr>
              <w:t>2.784.794</w:t>
            </w:r>
          </w:p>
        </w:tc>
        <w:tc>
          <w:tcPr>
            <w:tcW w:w="2835" w:type="dxa"/>
            <w:tcBorders>
              <w:top w:val="nil"/>
              <w:left w:val="nil"/>
              <w:bottom w:val="single" w:sz="4" w:space="0" w:color="auto"/>
              <w:right w:val="single" w:sz="4" w:space="0" w:color="auto"/>
            </w:tcBorders>
            <w:noWrap/>
            <w:vAlign w:val="bottom"/>
            <w:hideMark/>
          </w:tcPr>
          <w:p w14:paraId="4A7475C0" w14:textId="4346ACE2" w:rsidR="00D03D87" w:rsidRPr="009A7CD7" w:rsidRDefault="00200CB7" w:rsidP="006E1DA8">
            <w:pPr>
              <w:jc w:val="center"/>
              <w:rPr>
                <w:color w:val="000000"/>
                <w:sz w:val="22"/>
                <w:szCs w:val="22"/>
              </w:rPr>
            </w:pPr>
            <w:r w:rsidRPr="009A7CD7">
              <w:rPr>
                <w:color w:val="000000"/>
                <w:sz w:val="22"/>
                <w:szCs w:val="22"/>
              </w:rPr>
              <w:t>+</w:t>
            </w:r>
            <w:r w:rsidR="00145B03" w:rsidRPr="009A7CD7">
              <w:rPr>
                <w:color w:val="000000"/>
                <w:sz w:val="22"/>
                <w:szCs w:val="22"/>
              </w:rPr>
              <w:t xml:space="preserve"> </w:t>
            </w:r>
            <w:r w:rsidR="00D03D87" w:rsidRPr="009A7CD7">
              <w:rPr>
                <w:color w:val="000000"/>
                <w:sz w:val="22"/>
                <w:szCs w:val="22"/>
              </w:rPr>
              <w:t>1.787.421</w:t>
            </w:r>
          </w:p>
        </w:tc>
      </w:tr>
      <w:tr w:rsidR="00D03D87" w:rsidRPr="009A7CD7" w14:paraId="603B3887" w14:textId="77777777" w:rsidTr="00182CC8">
        <w:trPr>
          <w:trHeight w:val="310"/>
          <w:jc w:val="center"/>
        </w:trPr>
        <w:tc>
          <w:tcPr>
            <w:tcW w:w="2900" w:type="dxa"/>
            <w:tcBorders>
              <w:top w:val="nil"/>
              <w:left w:val="single" w:sz="4" w:space="0" w:color="auto"/>
              <w:bottom w:val="single" w:sz="4" w:space="0" w:color="auto"/>
              <w:right w:val="single" w:sz="4" w:space="0" w:color="auto"/>
            </w:tcBorders>
            <w:noWrap/>
            <w:vAlign w:val="bottom"/>
            <w:hideMark/>
          </w:tcPr>
          <w:p w14:paraId="645933BF" w14:textId="77777777" w:rsidR="00D03D87" w:rsidRPr="009A7CD7" w:rsidRDefault="00D03D87" w:rsidP="006E1DA8">
            <w:pPr>
              <w:rPr>
                <w:color w:val="000000"/>
                <w:sz w:val="22"/>
                <w:szCs w:val="22"/>
              </w:rPr>
            </w:pPr>
            <w:r w:rsidRPr="009A7CD7">
              <w:rPr>
                <w:color w:val="000000"/>
                <w:sz w:val="22"/>
                <w:szCs w:val="22"/>
              </w:rPr>
              <w:t>Umbria</w:t>
            </w:r>
          </w:p>
        </w:tc>
        <w:tc>
          <w:tcPr>
            <w:tcW w:w="2057" w:type="dxa"/>
            <w:tcBorders>
              <w:top w:val="nil"/>
              <w:left w:val="nil"/>
              <w:bottom w:val="single" w:sz="4" w:space="0" w:color="auto"/>
              <w:right w:val="single" w:sz="4" w:space="0" w:color="auto"/>
            </w:tcBorders>
            <w:noWrap/>
            <w:vAlign w:val="bottom"/>
            <w:hideMark/>
          </w:tcPr>
          <w:p w14:paraId="4D231069" w14:textId="77777777" w:rsidR="00D03D87" w:rsidRPr="009A7CD7" w:rsidRDefault="00D03D87" w:rsidP="006E1DA8">
            <w:pPr>
              <w:jc w:val="center"/>
              <w:rPr>
                <w:color w:val="000000"/>
                <w:sz w:val="22"/>
                <w:szCs w:val="22"/>
              </w:rPr>
            </w:pPr>
            <w:r w:rsidRPr="009A7CD7">
              <w:rPr>
                <w:color w:val="000000"/>
                <w:sz w:val="22"/>
                <w:szCs w:val="22"/>
              </w:rPr>
              <w:t>14.517.000</w:t>
            </w:r>
          </w:p>
        </w:tc>
        <w:tc>
          <w:tcPr>
            <w:tcW w:w="2268" w:type="dxa"/>
            <w:tcBorders>
              <w:top w:val="nil"/>
              <w:left w:val="nil"/>
              <w:bottom w:val="single" w:sz="4" w:space="0" w:color="auto"/>
              <w:right w:val="single" w:sz="4" w:space="0" w:color="auto"/>
            </w:tcBorders>
            <w:noWrap/>
            <w:vAlign w:val="bottom"/>
            <w:hideMark/>
          </w:tcPr>
          <w:p w14:paraId="553966CF" w14:textId="6758EC53" w:rsidR="00D03D87" w:rsidRPr="009A7CD7" w:rsidRDefault="008146AF" w:rsidP="006E1DA8">
            <w:pPr>
              <w:jc w:val="center"/>
              <w:rPr>
                <w:color w:val="000000"/>
                <w:sz w:val="22"/>
                <w:szCs w:val="22"/>
              </w:rPr>
            </w:pPr>
            <w:r w:rsidRPr="009A7CD7">
              <w:rPr>
                <w:color w:val="000000"/>
                <w:sz w:val="22"/>
                <w:szCs w:val="22"/>
              </w:rPr>
              <w:t xml:space="preserve">- </w:t>
            </w:r>
            <w:r w:rsidR="00975C3A" w:rsidRPr="009A7CD7">
              <w:rPr>
                <w:color w:val="000000"/>
                <w:sz w:val="22"/>
                <w:szCs w:val="22"/>
              </w:rPr>
              <w:t>-</w:t>
            </w:r>
            <w:r w:rsidRPr="009A7CD7">
              <w:rPr>
                <w:color w:val="000000"/>
                <w:sz w:val="22"/>
                <w:szCs w:val="22"/>
              </w:rPr>
              <w:t xml:space="preserve"> -</w:t>
            </w:r>
          </w:p>
        </w:tc>
        <w:tc>
          <w:tcPr>
            <w:tcW w:w="2835" w:type="dxa"/>
            <w:tcBorders>
              <w:top w:val="nil"/>
              <w:left w:val="nil"/>
              <w:bottom w:val="single" w:sz="4" w:space="0" w:color="auto"/>
              <w:right w:val="single" w:sz="4" w:space="0" w:color="auto"/>
            </w:tcBorders>
            <w:noWrap/>
            <w:vAlign w:val="bottom"/>
            <w:hideMark/>
          </w:tcPr>
          <w:p w14:paraId="1629E4CD" w14:textId="28F52115" w:rsidR="00D03D87" w:rsidRPr="009A7CD7" w:rsidRDefault="008146AF" w:rsidP="006E1DA8">
            <w:pPr>
              <w:jc w:val="center"/>
              <w:rPr>
                <w:color w:val="000000"/>
                <w:sz w:val="22"/>
                <w:szCs w:val="22"/>
              </w:rPr>
            </w:pPr>
            <w:r w:rsidRPr="009A7CD7">
              <w:rPr>
                <w:color w:val="000000"/>
                <w:sz w:val="22"/>
                <w:szCs w:val="22"/>
              </w:rPr>
              <w:t xml:space="preserve">- </w:t>
            </w:r>
            <w:r w:rsidR="00975C3A" w:rsidRPr="009A7CD7">
              <w:rPr>
                <w:color w:val="000000"/>
                <w:sz w:val="22"/>
                <w:szCs w:val="22"/>
              </w:rPr>
              <w:t>-</w:t>
            </w:r>
            <w:r w:rsidRPr="009A7CD7">
              <w:rPr>
                <w:color w:val="000000"/>
                <w:sz w:val="22"/>
                <w:szCs w:val="22"/>
              </w:rPr>
              <w:t xml:space="preserve"> -</w:t>
            </w:r>
          </w:p>
        </w:tc>
      </w:tr>
      <w:tr w:rsidR="00D03D87" w:rsidRPr="009A7CD7" w14:paraId="21CD9D1B" w14:textId="77777777" w:rsidTr="00182CC8">
        <w:trPr>
          <w:trHeight w:val="310"/>
          <w:jc w:val="center"/>
        </w:trPr>
        <w:tc>
          <w:tcPr>
            <w:tcW w:w="2900" w:type="dxa"/>
            <w:tcBorders>
              <w:top w:val="nil"/>
              <w:left w:val="single" w:sz="4" w:space="0" w:color="auto"/>
              <w:bottom w:val="single" w:sz="4" w:space="0" w:color="auto"/>
              <w:right w:val="single" w:sz="4" w:space="0" w:color="auto"/>
            </w:tcBorders>
            <w:noWrap/>
            <w:vAlign w:val="bottom"/>
            <w:hideMark/>
          </w:tcPr>
          <w:p w14:paraId="5AF48BC0" w14:textId="60C43BA3" w:rsidR="00D03D87" w:rsidRPr="009A7CD7" w:rsidRDefault="00D03D87" w:rsidP="006E1DA8">
            <w:pPr>
              <w:rPr>
                <w:color w:val="000000"/>
                <w:sz w:val="22"/>
                <w:szCs w:val="22"/>
              </w:rPr>
            </w:pPr>
            <w:r w:rsidRPr="009A7CD7">
              <w:rPr>
                <w:color w:val="000000"/>
                <w:sz w:val="22"/>
                <w:szCs w:val="22"/>
              </w:rPr>
              <w:t>Valle d'Aost</w:t>
            </w:r>
            <w:r w:rsidR="00091E80" w:rsidRPr="009A7CD7">
              <w:rPr>
                <w:color w:val="000000"/>
                <w:sz w:val="22"/>
                <w:szCs w:val="22"/>
              </w:rPr>
              <w:t>a</w:t>
            </w:r>
          </w:p>
        </w:tc>
        <w:tc>
          <w:tcPr>
            <w:tcW w:w="2057" w:type="dxa"/>
            <w:tcBorders>
              <w:top w:val="nil"/>
              <w:left w:val="nil"/>
              <w:bottom w:val="single" w:sz="4" w:space="0" w:color="auto"/>
              <w:right w:val="single" w:sz="4" w:space="0" w:color="auto"/>
            </w:tcBorders>
            <w:noWrap/>
            <w:vAlign w:val="bottom"/>
            <w:hideMark/>
          </w:tcPr>
          <w:p w14:paraId="72A2367D" w14:textId="77777777" w:rsidR="00D03D87" w:rsidRPr="009A7CD7" w:rsidRDefault="00D03D87" w:rsidP="006E1DA8">
            <w:pPr>
              <w:jc w:val="center"/>
              <w:rPr>
                <w:color w:val="000000"/>
                <w:sz w:val="22"/>
                <w:szCs w:val="22"/>
              </w:rPr>
            </w:pPr>
            <w:r w:rsidRPr="009A7CD7">
              <w:rPr>
                <w:color w:val="000000"/>
                <w:sz w:val="22"/>
                <w:szCs w:val="22"/>
              </w:rPr>
              <w:t>2.122.000</w:t>
            </w:r>
          </w:p>
        </w:tc>
        <w:tc>
          <w:tcPr>
            <w:tcW w:w="2268" w:type="dxa"/>
            <w:tcBorders>
              <w:top w:val="nil"/>
              <w:left w:val="nil"/>
              <w:bottom w:val="single" w:sz="4" w:space="0" w:color="auto"/>
              <w:right w:val="single" w:sz="4" w:space="0" w:color="auto"/>
            </w:tcBorders>
            <w:noWrap/>
            <w:vAlign w:val="bottom"/>
            <w:hideMark/>
          </w:tcPr>
          <w:p w14:paraId="54114F45" w14:textId="09632C00" w:rsidR="00D03D87" w:rsidRPr="009A7CD7" w:rsidRDefault="00200CB7" w:rsidP="006E1DA8">
            <w:pPr>
              <w:jc w:val="center"/>
              <w:rPr>
                <w:color w:val="000000"/>
                <w:sz w:val="22"/>
                <w:szCs w:val="22"/>
              </w:rPr>
            </w:pPr>
            <w:r w:rsidRPr="009A7CD7">
              <w:rPr>
                <w:color w:val="000000"/>
                <w:sz w:val="22"/>
                <w:szCs w:val="22"/>
              </w:rPr>
              <w:t>+</w:t>
            </w:r>
            <w:r w:rsidR="008146AF" w:rsidRPr="009A7CD7">
              <w:rPr>
                <w:color w:val="000000"/>
                <w:sz w:val="22"/>
                <w:szCs w:val="22"/>
              </w:rPr>
              <w:t xml:space="preserve"> </w:t>
            </w:r>
            <w:r w:rsidR="00D03D87" w:rsidRPr="009A7CD7">
              <w:rPr>
                <w:color w:val="000000"/>
                <w:sz w:val="22"/>
                <w:szCs w:val="22"/>
              </w:rPr>
              <w:t>383.747</w:t>
            </w:r>
          </w:p>
        </w:tc>
        <w:tc>
          <w:tcPr>
            <w:tcW w:w="2835" w:type="dxa"/>
            <w:tcBorders>
              <w:top w:val="nil"/>
              <w:left w:val="nil"/>
              <w:bottom w:val="single" w:sz="4" w:space="0" w:color="auto"/>
              <w:right w:val="single" w:sz="4" w:space="0" w:color="auto"/>
            </w:tcBorders>
            <w:noWrap/>
            <w:vAlign w:val="bottom"/>
            <w:hideMark/>
          </w:tcPr>
          <w:p w14:paraId="371AFFA1" w14:textId="3C9BC3EF" w:rsidR="00D03D87" w:rsidRPr="009A7CD7" w:rsidRDefault="00200CB7" w:rsidP="006E1DA8">
            <w:pPr>
              <w:jc w:val="center"/>
              <w:rPr>
                <w:color w:val="000000"/>
                <w:sz w:val="22"/>
                <w:szCs w:val="22"/>
              </w:rPr>
            </w:pPr>
            <w:r w:rsidRPr="009A7CD7">
              <w:rPr>
                <w:color w:val="000000"/>
                <w:sz w:val="22"/>
                <w:szCs w:val="22"/>
              </w:rPr>
              <w:t>+</w:t>
            </w:r>
            <w:r w:rsidR="008146AF" w:rsidRPr="009A7CD7">
              <w:rPr>
                <w:color w:val="000000"/>
                <w:sz w:val="22"/>
                <w:szCs w:val="22"/>
              </w:rPr>
              <w:t xml:space="preserve"> </w:t>
            </w:r>
            <w:r w:rsidR="00D03D87" w:rsidRPr="009A7CD7">
              <w:rPr>
                <w:color w:val="000000"/>
                <w:sz w:val="22"/>
                <w:szCs w:val="22"/>
              </w:rPr>
              <w:t>353.473</w:t>
            </w:r>
          </w:p>
        </w:tc>
      </w:tr>
      <w:tr w:rsidR="00D03D87" w:rsidRPr="009A7CD7" w14:paraId="1225830E" w14:textId="77777777" w:rsidTr="00182CC8">
        <w:trPr>
          <w:trHeight w:val="310"/>
          <w:jc w:val="center"/>
        </w:trPr>
        <w:tc>
          <w:tcPr>
            <w:tcW w:w="2900" w:type="dxa"/>
            <w:tcBorders>
              <w:top w:val="nil"/>
              <w:left w:val="single" w:sz="4" w:space="0" w:color="auto"/>
              <w:bottom w:val="single" w:sz="4" w:space="0" w:color="auto"/>
              <w:right w:val="single" w:sz="4" w:space="0" w:color="auto"/>
            </w:tcBorders>
            <w:noWrap/>
            <w:vAlign w:val="bottom"/>
            <w:hideMark/>
          </w:tcPr>
          <w:p w14:paraId="6810D193" w14:textId="77777777" w:rsidR="00D03D87" w:rsidRPr="009A7CD7" w:rsidRDefault="00D03D87" w:rsidP="006E1DA8">
            <w:pPr>
              <w:rPr>
                <w:color w:val="000000"/>
                <w:sz w:val="22"/>
                <w:szCs w:val="22"/>
              </w:rPr>
            </w:pPr>
            <w:r w:rsidRPr="009A7CD7">
              <w:rPr>
                <w:color w:val="000000"/>
                <w:sz w:val="22"/>
                <w:szCs w:val="22"/>
              </w:rPr>
              <w:t>Veneto</w:t>
            </w:r>
          </w:p>
        </w:tc>
        <w:tc>
          <w:tcPr>
            <w:tcW w:w="2057" w:type="dxa"/>
            <w:tcBorders>
              <w:top w:val="nil"/>
              <w:left w:val="nil"/>
              <w:bottom w:val="single" w:sz="4" w:space="0" w:color="auto"/>
              <w:right w:val="single" w:sz="4" w:space="0" w:color="auto"/>
            </w:tcBorders>
            <w:noWrap/>
            <w:vAlign w:val="bottom"/>
            <w:hideMark/>
          </w:tcPr>
          <w:p w14:paraId="6844DA27" w14:textId="77777777" w:rsidR="00D03D87" w:rsidRPr="009A7CD7" w:rsidRDefault="00D03D87" w:rsidP="006E1DA8">
            <w:pPr>
              <w:jc w:val="center"/>
              <w:rPr>
                <w:color w:val="000000"/>
                <w:sz w:val="22"/>
                <w:szCs w:val="22"/>
              </w:rPr>
            </w:pPr>
            <w:r w:rsidRPr="009A7CD7">
              <w:rPr>
                <w:color w:val="000000"/>
                <w:sz w:val="22"/>
                <w:szCs w:val="22"/>
              </w:rPr>
              <w:t>68.256.000</w:t>
            </w:r>
          </w:p>
        </w:tc>
        <w:tc>
          <w:tcPr>
            <w:tcW w:w="2268" w:type="dxa"/>
            <w:tcBorders>
              <w:top w:val="nil"/>
              <w:left w:val="nil"/>
              <w:bottom w:val="single" w:sz="4" w:space="0" w:color="auto"/>
              <w:right w:val="single" w:sz="4" w:space="0" w:color="auto"/>
            </w:tcBorders>
            <w:noWrap/>
            <w:vAlign w:val="bottom"/>
            <w:hideMark/>
          </w:tcPr>
          <w:p w14:paraId="3471FDA2" w14:textId="52E5B8D9" w:rsidR="00D03D87" w:rsidRPr="009A7CD7" w:rsidRDefault="008146AF" w:rsidP="006E1DA8">
            <w:pPr>
              <w:jc w:val="center"/>
              <w:rPr>
                <w:color w:val="000000"/>
                <w:sz w:val="22"/>
                <w:szCs w:val="22"/>
              </w:rPr>
            </w:pPr>
            <w:r w:rsidRPr="009A7CD7">
              <w:rPr>
                <w:color w:val="000000"/>
                <w:sz w:val="22"/>
                <w:szCs w:val="22"/>
              </w:rPr>
              <w:t xml:space="preserve">- </w:t>
            </w:r>
            <w:r w:rsidR="00975C3A" w:rsidRPr="009A7CD7">
              <w:rPr>
                <w:color w:val="000000"/>
                <w:sz w:val="22"/>
                <w:szCs w:val="22"/>
              </w:rPr>
              <w:t>-</w:t>
            </w:r>
            <w:r w:rsidRPr="009A7CD7">
              <w:rPr>
                <w:color w:val="000000"/>
                <w:sz w:val="22"/>
                <w:szCs w:val="22"/>
              </w:rPr>
              <w:t xml:space="preserve"> -</w:t>
            </w:r>
          </w:p>
        </w:tc>
        <w:tc>
          <w:tcPr>
            <w:tcW w:w="2835" w:type="dxa"/>
            <w:tcBorders>
              <w:top w:val="nil"/>
              <w:left w:val="nil"/>
              <w:bottom w:val="single" w:sz="4" w:space="0" w:color="auto"/>
              <w:right w:val="single" w:sz="4" w:space="0" w:color="auto"/>
            </w:tcBorders>
            <w:noWrap/>
            <w:vAlign w:val="bottom"/>
            <w:hideMark/>
          </w:tcPr>
          <w:p w14:paraId="141C062C" w14:textId="24C47778" w:rsidR="00D03D87" w:rsidRPr="009A7CD7" w:rsidRDefault="008146AF" w:rsidP="006E1DA8">
            <w:pPr>
              <w:jc w:val="center"/>
              <w:rPr>
                <w:color w:val="000000"/>
                <w:sz w:val="22"/>
                <w:szCs w:val="22"/>
              </w:rPr>
            </w:pPr>
            <w:r w:rsidRPr="009A7CD7">
              <w:rPr>
                <w:color w:val="000000"/>
                <w:sz w:val="22"/>
                <w:szCs w:val="22"/>
              </w:rPr>
              <w:t xml:space="preserve">- </w:t>
            </w:r>
            <w:r w:rsidR="00975C3A" w:rsidRPr="009A7CD7">
              <w:rPr>
                <w:color w:val="000000"/>
                <w:sz w:val="22"/>
                <w:szCs w:val="22"/>
              </w:rPr>
              <w:t>-</w:t>
            </w:r>
            <w:r w:rsidRPr="009A7CD7">
              <w:rPr>
                <w:color w:val="000000"/>
                <w:sz w:val="22"/>
                <w:szCs w:val="22"/>
              </w:rPr>
              <w:t xml:space="preserve"> -</w:t>
            </w:r>
          </w:p>
        </w:tc>
      </w:tr>
      <w:tr w:rsidR="00D03D87" w:rsidRPr="009A7CD7" w14:paraId="66958345" w14:textId="77777777" w:rsidTr="00826533">
        <w:trPr>
          <w:trHeight w:val="123"/>
          <w:jc w:val="center"/>
        </w:trPr>
        <w:tc>
          <w:tcPr>
            <w:tcW w:w="2900" w:type="dxa"/>
            <w:tcBorders>
              <w:top w:val="nil"/>
              <w:left w:val="single" w:sz="4" w:space="0" w:color="auto"/>
              <w:bottom w:val="single" w:sz="4" w:space="0" w:color="auto"/>
              <w:right w:val="single" w:sz="4" w:space="0" w:color="auto"/>
            </w:tcBorders>
            <w:noWrap/>
            <w:vAlign w:val="bottom"/>
            <w:hideMark/>
          </w:tcPr>
          <w:p w14:paraId="442164FC" w14:textId="7EC89590" w:rsidR="00826533" w:rsidRPr="009A7CD7" w:rsidRDefault="00D03D87" w:rsidP="00826533">
            <w:pPr>
              <w:jc w:val="center"/>
              <w:rPr>
                <w:b/>
                <w:bCs/>
                <w:color w:val="000000"/>
                <w:sz w:val="22"/>
                <w:szCs w:val="22"/>
              </w:rPr>
            </w:pPr>
            <w:r w:rsidRPr="009A7CD7">
              <w:rPr>
                <w:b/>
                <w:bCs/>
                <w:color w:val="000000"/>
                <w:sz w:val="22"/>
                <w:szCs w:val="22"/>
              </w:rPr>
              <w:t>Totale</w:t>
            </w:r>
          </w:p>
        </w:tc>
        <w:tc>
          <w:tcPr>
            <w:tcW w:w="2057" w:type="dxa"/>
            <w:tcBorders>
              <w:top w:val="nil"/>
              <w:left w:val="nil"/>
              <w:bottom w:val="single" w:sz="4" w:space="0" w:color="auto"/>
              <w:right w:val="single" w:sz="4" w:space="0" w:color="auto"/>
            </w:tcBorders>
            <w:noWrap/>
            <w:vAlign w:val="bottom"/>
            <w:hideMark/>
          </w:tcPr>
          <w:p w14:paraId="502BFA87" w14:textId="77777777" w:rsidR="00D03D87" w:rsidRPr="009A7CD7" w:rsidRDefault="00D03D87" w:rsidP="00F13A5A">
            <w:pPr>
              <w:jc w:val="center"/>
              <w:rPr>
                <w:b/>
                <w:bCs/>
                <w:color w:val="000000"/>
                <w:sz w:val="22"/>
                <w:szCs w:val="22"/>
              </w:rPr>
            </w:pPr>
            <w:r w:rsidRPr="009A7CD7">
              <w:rPr>
                <w:b/>
                <w:bCs/>
                <w:color w:val="000000"/>
                <w:sz w:val="22"/>
                <w:szCs w:val="22"/>
              </w:rPr>
              <w:t>848.960.000</w:t>
            </w:r>
          </w:p>
        </w:tc>
        <w:tc>
          <w:tcPr>
            <w:tcW w:w="2268" w:type="dxa"/>
            <w:tcBorders>
              <w:top w:val="nil"/>
              <w:left w:val="nil"/>
              <w:bottom w:val="single" w:sz="4" w:space="0" w:color="auto"/>
              <w:right w:val="single" w:sz="4" w:space="0" w:color="auto"/>
            </w:tcBorders>
            <w:noWrap/>
            <w:vAlign w:val="bottom"/>
            <w:hideMark/>
          </w:tcPr>
          <w:p w14:paraId="4236E4DC" w14:textId="77777777" w:rsidR="00D03D87" w:rsidRPr="009A7CD7" w:rsidRDefault="00D03D87" w:rsidP="00F13A5A">
            <w:pPr>
              <w:jc w:val="center"/>
              <w:rPr>
                <w:b/>
                <w:bCs/>
                <w:color w:val="000000"/>
                <w:sz w:val="22"/>
                <w:szCs w:val="22"/>
              </w:rPr>
            </w:pPr>
            <w:r w:rsidRPr="009A7CD7">
              <w:rPr>
                <w:b/>
                <w:bCs/>
                <w:color w:val="000000"/>
                <w:sz w:val="22"/>
                <w:szCs w:val="22"/>
              </w:rPr>
              <w:t>15.686.593</w:t>
            </w:r>
          </w:p>
        </w:tc>
        <w:tc>
          <w:tcPr>
            <w:tcW w:w="2835" w:type="dxa"/>
            <w:tcBorders>
              <w:top w:val="nil"/>
              <w:left w:val="nil"/>
              <w:bottom w:val="single" w:sz="4" w:space="0" w:color="auto"/>
              <w:right w:val="single" w:sz="4" w:space="0" w:color="auto"/>
            </w:tcBorders>
            <w:noWrap/>
            <w:vAlign w:val="bottom"/>
            <w:hideMark/>
          </w:tcPr>
          <w:p w14:paraId="4EF6A144" w14:textId="77777777" w:rsidR="00D03D87" w:rsidRPr="009A7CD7" w:rsidRDefault="00D03D87" w:rsidP="00F13A5A">
            <w:pPr>
              <w:jc w:val="center"/>
              <w:rPr>
                <w:b/>
                <w:bCs/>
                <w:color w:val="000000"/>
                <w:sz w:val="22"/>
                <w:szCs w:val="22"/>
              </w:rPr>
            </w:pPr>
            <w:r w:rsidRPr="009A7CD7">
              <w:rPr>
                <w:b/>
                <w:bCs/>
                <w:color w:val="000000"/>
                <w:sz w:val="22"/>
                <w:szCs w:val="22"/>
              </w:rPr>
              <w:t>9.007.893</w:t>
            </w:r>
          </w:p>
        </w:tc>
      </w:tr>
    </w:tbl>
    <w:p w14:paraId="1A67EB40" w14:textId="6214662D" w:rsidR="00826533" w:rsidRPr="009A7CD7" w:rsidRDefault="00091E80" w:rsidP="000510A2">
      <w:pPr>
        <w:tabs>
          <w:tab w:val="left" w:pos="680"/>
        </w:tabs>
        <w:ind w:right="106"/>
        <w:rPr>
          <w:rFonts w:eastAsia="Calibri"/>
          <w:b/>
          <w:bCs/>
          <w:sz w:val="20"/>
          <w:szCs w:val="20"/>
          <w:shd w:val="clear" w:color="auto" w:fill="FFFFFF"/>
        </w:rPr>
      </w:pPr>
      <w:r w:rsidRPr="009A7CD7">
        <w:rPr>
          <w:rFonts w:eastAsia="Calibri"/>
          <w:b/>
          <w:bCs/>
          <w:sz w:val="20"/>
          <w:szCs w:val="20"/>
          <w:shd w:val="clear" w:color="auto" w:fill="FFFFFF"/>
        </w:rPr>
        <w:t>* Quota parte delle risorse del Fondo di cui all’articolo 1, comma 235, della legge n. 207 del 2024</w:t>
      </w:r>
      <w:r w:rsidR="004666D4" w:rsidRPr="009A7CD7">
        <w:rPr>
          <w:rFonts w:eastAsia="Calibri"/>
          <w:b/>
          <w:bCs/>
          <w:sz w:val="20"/>
          <w:szCs w:val="20"/>
          <w:shd w:val="clear" w:color="auto" w:fill="FFFFFF"/>
        </w:rPr>
        <w:t>.</w:t>
      </w:r>
    </w:p>
    <w:tbl>
      <w:tblPr>
        <w:tblW w:w="10055" w:type="dxa"/>
        <w:jc w:val="center"/>
        <w:tblCellMar>
          <w:left w:w="70" w:type="dxa"/>
          <w:right w:w="70" w:type="dxa"/>
        </w:tblCellMar>
        <w:tblLook w:val="04A0" w:firstRow="1" w:lastRow="0" w:firstColumn="1" w:lastColumn="0" w:noHBand="0" w:noVBand="1"/>
      </w:tblPr>
      <w:tblGrid>
        <w:gridCol w:w="2117"/>
        <w:gridCol w:w="2835"/>
        <w:gridCol w:w="2268"/>
        <w:gridCol w:w="2835"/>
      </w:tblGrid>
      <w:tr w:rsidR="00CA50A2" w:rsidRPr="009A7CD7" w14:paraId="776BDA9B" w14:textId="77777777" w:rsidTr="00354918">
        <w:trPr>
          <w:trHeight w:val="700"/>
          <w:jc w:val="center"/>
        </w:trPr>
        <w:tc>
          <w:tcPr>
            <w:tcW w:w="10055" w:type="dxa"/>
            <w:gridSpan w:val="4"/>
            <w:tcBorders>
              <w:top w:val="single" w:sz="2" w:space="0" w:color="auto"/>
              <w:left w:val="single" w:sz="2" w:space="0" w:color="auto"/>
              <w:bottom w:val="single" w:sz="4" w:space="0" w:color="auto"/>
              <w:right w:val="single" w:sz="2" w:space="0" w:color="auto"/>
            </w:tcBorders>
            <w:noWrap/>
            <w:vAlign w:val="center"/>
          </w:tcPr>
          <w:p w14:paraId="16FDBD46" w14:textId="77777777" w:rsidR="00DF2F4C" w:rsidRPr="009A7CD7" w:rsidRDefault="00C26501" w:rsidP="00EA7F5B">
            <w:pPr>
              <w:jc w:val="center"/>
              <w:rPr>
                <w:b/>
                <w:bCs/>
                <w:color w:val="000000"/>
              </w:rPr>
            </w:pPr>
            <w:r w:rsidRPr="009A7CD7">
              <w:rPr>
                <w:b/>
                <w:bCs/>
                <w:color w:val="000000"/>
              </w:rPr>
              <w:lastRenderedPageBreak/>
              <w:t>Tabella 3</w:t>
            </w:r>
          </w:p>
          <w:p w14:paraId="365F0C69" w14:textId="6CD4220F" w:rsidR="00EA7F5B" w:rsidRPr="009A7CD7" w:rsidRDefault="00C04F41" w:rsidP="00826533">
            <w:pPr>
              <w:jc w:val="center"/>
              <w:rPr>
                <w:b/>
                <w:bCs/>
                <w:color w:val="000000"/>
              </w:rPr>
            </w:pPr>
            <w:r w:rsidRPr="009A7CD7">
              <w:rPr>
                <w:b/>
                <w:bCs/>
                <w:color w:val="000000"/>
              </w:rPr>
              <w:t>Ulteriori r</w:t>
            </w:r>
            <w:r w:rsidR="004666D4" w:rsidRPr="009A7CD7">
              <w:rPr>
                <w:b/>
                <w:bCs/>
                <w:color w:val="000000"/>
              </w:rPr>
              <w:t xml:space="preserve">isorse residue </w:t>
            </w:r>
            <w:r w:rsidRPr="009A7CD7">
              <w:rPr>
                <w:b/>
                <w:bCs/>
                <w:color w:val="000000"/>
              </w:rPr>
              <w:t>per l’</w:t>
            </w:r>
            <w:r w:rsidR="004666D4" w:rsidRPr="009A7CD7">
              <w:rPr>
                <w:b/>
                <w:bCs/>
                <w:color w:val="000000"/>
              </w:rPr>
              <w:t>annualità 2025, al netto di quelle ripartite in Tabella 2</w:t>
            </w:r>
            <w:r w:rsidR="00C26501" w:rsidRPr="009A7CD7">
              <w:rPr>
                <w:b/>
                <w:bCs/>
                <w:color w:val="000000"/>
              </w:rPr>
              <w:t>*</w:t>
            </w:r>
          </w:p>
        </w:tc>
      </w:tr>
      <w:tr w:rsidR="00CA50A2" w:rsidRPr="009A7CD7" w14:paraId="5596B822" w14:textId="77777777" w:rsidTr="00354918">
        <w:trPr>
          <w:trHeight w:val="758"/>
          <w:jc w:val="center"/>
        </w:trPr>
        <w:tc>
          <w:tcPr>
            <w:tcW w:w="2117" w:type="dxa"/>
            <w:tcBorders>
              <w:top w:val="single" w:sz="8" w:space="0" w:color="auto"/>
              <w:left w:val="single" w:sz="2" w:space="0" w:color="auto"/>
              <w:bottom w:val="single" w:sz="4" w:space="0" w:color="auto"/>
              <w:right w:val="single" w:sz="4" w:space="0" w:color="auto"/>
            </w:tcBorders>
            <w:noWrap/>
            <w:vAlign w:val="bottom"/>
            <w:hideMark/>
          </w:tcPr>
          <w:p w14:paraId="3336EC2E" w14:textId="77777777" w:rsidR="00CA50A2" w:rsidRPr="009A7CD7" w:rsidRDefault="00CA50A2">
            <w:pPr>
              <w:rPr>
                <w:color w:val="000000"/>
              </w:rPr>
            </w:pPr>
            <w:r w:rsidRPr="009A7CD7">
              <w:rPr>
                <w:color w:val="000000"/>
              </w:rPr>
              <w:t> </w:t>
            </w:r>
          </w:p>
        </w:tc>
        <w:tc>
          <w:tcPr>
            <w:tcW w:w="2835" w:type="dxa"/>
            <w:tcBorders>
              <w:top w:val="single" w:sz="8" w:space="0" w:color="auto"/>
              <w:left w:val="nil"/>
              <w:bottom w:val="single" w:sz="4" w:space="0" w:color="auto"/>
              <w:right w:val="single" w:sz="4" w:space="0" w:color="auto"/>
            </w:tcBorders>
            <w:vAlign w:val="center"/>
            <w:hideMark/>
          </w:tcPr>
          <w:p w14:paraId="5D0F748E" w14:textId="26044629" w:rsidR="00CA50A2" w:rsidRPr="009A7CD7" w:rsidRDefault="00A65AB9">
            <w:pPr>
              <w:jc w:val="center"/>
              <w:rPr>
                <w:b/>
                <w:bCs/>
                <w:color w:val="000000"/>
                <w:sz w:val="22"/>
                <w:szCs w:val="22"/>
              </w:rPr>
            </w:pPr>
            <w:r w:rsidRPr="009A7CD7">
              <w:rPr>
                <w:b/>
                <w:bCs/>
                <w:color w:val="000000"/>
                <w:sz w:val="22"/>
                <w:szCs w:val="22"/>
              </w:rPr>
              <w:t>P</w:t>
            </w:r>
            <w:r w:rsidR="00CA50A2" w:rsidRPr="009A7CD7">
              <w:rPr>
                <w:b/>
                <w:bCs/>
                <w:color w:val="000000"/>
                <w:sz w:val="22"/>
                <w:szCs w:val="22"/>
              </w:rPr>
              <w:t>opolazione residente (70+)</w:t>
            </w:r>
          </w:p>
        </w:tc>
        <w:tc>
          <w:tcPr>
            <w:tcW w:w="2268" w:type="dxa"/>
            <w:tcBorders>
              <w:top w:val="single" w:sz="8" w:space="0" w:color="auto"/>
              <w:left w:val="nil"/>
              <w:bottom w:val="single" w:sz="4" w:space="0" w:color="auto"/>
              <w:right w:val="single" w:sz="4" w:space="0" w:color="auto"/>
            </w:tcBorders>
            <w:vAlign w:val="center"/>
            <w:hideMark/>
          </w:tcPr>
          <w:p w14:paraId="34F74F3E" w14:textId="0A0D45CF" w:rsidR="00CA50A2" w:rsidRPr="009A7CD7" w:rsidRDefault="00A9027A">
            <w:pPr>
              <w:jc w:val="center"/>
              <w:rPr>
                <w:b/>
                <w:bCs/>
                <w:color w:val="000000"/>
                <w:sz w:val="22"/>
                <w:szCs w:val="22"/>
              </w:rPr>
            </w:pPr>
            <w:r w:rsidRPr="009A7CD7">
              <w:rPr>
                <w:b/>
                <w:bCs/>
                <w:color w:val="000000"/>
                <w:sz w:val="22"/>
                <w:szCs w:val="22"/>
              </w:rPr>
              <w:t xml:space="preserve">Popolazione con </w:t>
            </w:r>
            <w:r w:rsidR="00CA50A2" w:rsidRPr="009A7CD7">
              <w:rPr>
                <w:b/>
                <w:bCs/>
                <w:color w:val="000000"/>
                <w:sz w:val="22"/>
                <w:szCs w:val="22"/>
              </w:rPr>
              <w:t>indennità</w:t>
            </w:r>
            <w:r w:rsidRPr="009A7CD7">
              <w:rPr>
                <w:b/>
                <w:bCs/>
                <w:color w:val="000000"/>
                <w:sz w:val="22"/>
                <w:szCs w:val="22"/>
              </w:rPr>
              <w:t xml:space="preserve"> di</w:t>
            </w:r>
            <w:r w:rsidR="00CA50A2" w:rsidRPr="009A7CD7">
              <w:rPr>
                <w:b/>
                <w:bCs/>
                <w:color w:val="000000"/>
                <w:sz w:val="22"/>
                <w:szCs w:val="22"/>
              </w:rPr>
              <w:t xml:space="preserve"> accompagnamento</w:t>
            </w:r>
            <w:r w:rsidR="00354918" w:rsidRPr="009A7CD7">
              <w:rPr>
                <w:b/>
                <w:bCs/>
                <w:color w:val="000000"/>
                <w:sz w:val="22"/>
                <w:szCs w:val="22"/>
              </w:rPr>
              <w:t xml:space="preserve"> </w:t>
            </w:r>
            <w:r w:rsidR="00CA50A2" w:rsidRPr="009A7CD7">
              <w:rPr>
                <w:b/>
                <w:bCs/>
                <w:color w:val="000000"/>
                <w:sz w:val="22"/>
                <w:szCs w:val="22"/>
              </w:rPr>
              <w:t>(70+)</w:t>
            </w:r>
          </w:p>
        </w:tc>
        <w:tc>
          <w:tcPr>
            <w:tcW w:w="2835" w:type="dxa"/>
            <w:tcBorders>
              <w:top w:val="single" w:sz="8" w:space="0" w:color="auto"/>
              <w:left w:val="nil"/>
              <w:bottom w:val="single" w:sz="4" w:space="0" w:color="auto"/>
              <w:right w:val="single" w:sz="2" w:space="0" w:color="auto"/>
            </w:tcBorders>
            <w:vAlign w:val="center"/>
            <w:hideMark/>
          </w:tcPr>
          <w:p w14:paraId="0EA7C755" w14:textId="727E2CDD" w:rsidR="00CA50A2" w:rsidRPr="009A7CD7" w:rsidRDefault="00CA50A2">
            <w:pPr>
              <w:jc w:val="center"/>
              <w:rPr>
                <w:b/>
                <w:bCs/>
                <w:color w:val="000000"/>
                <w:sz w:val="22"/>
                <w:szCs w:val="22"/>
              </w:rPr>
            </w:pPr>
            <w:r w:rsidRPr="009A7CD7">
              <w:rPr>
                <w:b/>
                <w:bCs/>
                <w:color w:val="000000"/>
                <w:sz w:val="22"/>
                <w:szCs w:val="22"/>
              </w:rPr>
              <w:t>Importo quota residua 2025</w:t>
            </w:r>
            <w:r w:rsidR="00C26501" w:rsidRPr="009A7CD7">
              <w:rPr>
                <w:b/>
                <w:bCs/>
                <w:color w:val="000000"/>
                <w:sz w:val="22"/>
                <w:szCs w:val="22"/>
              </w:rPr>
              <w:t>**</w:t>
            </w:r>
          </w:p>
        </w:tc>
      </w:tr>
      <w:tr w:rsidR="00CA50A2" w:rsidRPr="009A7CD7" w14:paraId="152AFF47" w14:textId="77777777" w:rsidTr="00354918">
        <w:trPr>
          <w:trHeight w:val="251"/>
          <w:jc w:val="center"/>
        </w:trPr>
        <w:tc>
          <w:tcPr>
            <w:tcW w:w="2117" w:type="dxa"/>
            <w:tcBorders>
              <w:top w:val="nil"/>
              <w:left w:val="single" w:sz="2" w:space="0" w:color="auto"/>
              <w:bottom w:val="single" w:sz="4" w:space="0" w:color="auto"/>
              <w:right w:val="single" w:sz="4" w:space="0" w:color="auto"/>
            </w:tcBorders>
            <w:noWrap/>
            <w:vAlign w:val="center"/>
            <w:hideMark/>
          </w:tcPr>
          <w:p w14:paraId="1222C94B" w14:textId="2A2CD1CA" w:rsidR="00CA50A2" w:rsidRPr="009A7CD7" w:rsidRDefault="00383A28" w:rsidP="00383A28">
            <w:pPr>
              <w:jc w:val="center"/>
              <w:rPr>
                <w:b/>
                <w:bCs/>
                <w:color w:val="000000"/>
                <w:sz w:val="22"/>
                <w:szCs w:val="22"/>
              </w:rPr>
            </w:pPr>
            <w:r w:rsidRPr="009A7CD7">
              <w:rPr>
                <w:b/>
                <w:bCs/>
                <w:color w:val="000000"/>
                <w:sz w:val="22"/>
                <w:szCs w:val="22"/>
              </w:rPr>
              <w:t>Regioni</w:t>
            </w:r>
          </w:p>
        </w:tc>
        <w:tc>
          <w:tcPr>
            <w:tcW w:w="2835" w:type="dxa"/>
            <w:tcBorders>
              <w:top w:val="nil"/>
              <w:left w:val="nil"/>
              <w:bottom w:val="single" w:sz="4" w:space="0" w:color="auto"/>
              <w:right w:val="single" w:sz="4" w:space="0" w:color="auto"/>
            </w:tcBorders>
            <w:vAlign w:val="center"/>
            <w:hideMark/>
          </w:tcPr>
          <w:p w14:paraId="5B910D06" w14:textId="77777777" w:rsidR="00CA50A2" w:rsidRPr="009A7CD7" w:rsidRDefault="00CA50A2">
            <w:pPr>
              <w:jc w:val="center"/>
              <w:rPr>
                <w:color w:val="000000"/>
                <w:sz w:val="22"/>
                <w:szCs w:val="22"/>
              </w:rPr>
            </w:pPr>
            <w:r w:rsidRPr="009A7CD7">
              <w:rPr>
                <w:color w:val="000000"/>
                <w:sz w:val="22"/>
                <w:szCs w:val="22"/>
              </w:rPr>
              <w:t>%</w:t>
            </w:r>
          </w:p>
        </w:tc>
        <w:tc>
          <w:tcPr>
            <w:tcW w:w="2268" w:type="dxa"/>
            <w:tcBorders>
              <w:top w:val="nil"/>
              <w:left w:val="nil"/>
              <w:bottom w:val="single" w:sz="4" w:space="0" w:color="auto"/>
              <w:right w:val="single" w:sz="4" w:space="0" w:color="auto"/>
            </w:tcBorders>
            <w:vAlign w:val="center"/>
            <w:hideMark/>
          </w:tcPr>
          <w:p w14:paraId="66AD83A8" w14:textId="77777777" w:rsidR="00CA50A2" w:rsidRPr="009A7CD7" w:rsidRDefault="00CA50A2">
            <w:pPr>
              <w:jc w:val="center"/>
              <w:rPr>
                <w:color w:val="000000"/>
                <w:sz w:val="22"/>
                <w:szCs w:val="22"/>
              </w:rPr>
            </w:pPr>
            <w:r w:rsidRPr="009A7CD7">
              <w:rPr>
                <w:color w:val="000000"/>
                <w:sz w:val="22"/>
                <w:szCs w:val="22"/>
              </w:rPr>
              <w:t>%</w:t>
            </w:r>
          </w:p>
        </w:tc>
        <w:tc>
          <w:tcPr>
            <w:tcW w:w="2835" w:type="dxa"/>
            <w:tcBorders>
              <w:top w:val="nil"/>
              <w:left w:val="nil"/>
              <w:bottom w:val="single" w:sz="4" w:space="0" w:color="auto"/>
              <w:right w:val="single" w:sz="2" w:space="0" w:color="auto"/>
            </w:tcBorders>
            <w:noWrap/>
            <w:vAlign w:val="center"/>
            <w:hideMark/>
          </w:tcPr>
          <w:p w14:paraId="29A0B420" w14:textId="2514EEC5" w:rsidR="00CA50A2" w:rsidRPr="009A7CD7" w:rsidRDefault="00383A28">
            <w:pPr>
              <w:jc w:val="center"/>
              <w:rPr>
                <w:color w:val="000000"/>
                <w:sz w:val="22"/>
                <w:szCs w:val="22"/>
              </w:rPr>
            </w:pPr>
            <w:r w:rsidRPr="009A7CD7">
              <w:rPr>
                <w:color w:val="000000"/>
                <w:sz w:val="22"/>
                <w:szCs w:val="22"/>
              </w:rPr>
              <w:t>Euro</w:t>
            </w:r>
          </w:p>
        </w:tc>
      </w:tr>
      <w:tr w:rsidR="00CA50A2" w:rsidRPr="009A7CD7" w14:paraId="40B590F9" w14:textId="77777777" w:rsidTr="00354918">
        <w:trPr>
          <w:trHeight w:val="310"/>
          <w:jc w:val="center"/>
        </w:trPr>
        <w:tc>
          <w:tcPr>
            <w:tcW w:w="2117" w:type="dxa"/>
            <w:tcBorders>
              <w:top w:val="nil"/>
              <w:left w:val="single" w:sz="2" w:space="0" w:color="auto"/>
              <w:bottom w:val="single" w:sz="4" w:space="0" w:color="auto"/>
              <w:right w:val="single" w:sz="4" w:space="0" w:color="auto"/>
            </w:tcBorders>
            <w:noWrap/>
            <w:vAlign w:val="bottom"/>
            <w:hideMark/>
          </w:tcPr>
          <w:p w14:paraId="2D8FFD7E" w14:textId="77777777" w:rsidR="00CA50A2" w:rsidRPr="009A7CD7" w:rsidRDefault="00CA50A2">
            <w:pPr>
              <w:rPr>
                <w:color w:val="000000"/>
                <w:sz w:val="22"/>
                <w:szCs w:val="22"/>
              </w:rPr>
            </w:pPr>
            <w:r w:rsidRPr="009A7CD7">
              <w:rPr>
                <w:color w:val="000000"/>
                <w:sz w:val="22"/>
                <w:szCs w:val="22"/>
              </w:rPr>
              <w:t>Abruzzo</w:t>
            </w:r>
          </w:p>
        </w:tc>
        <w:tc>
          <w:tcPr>
            <w:tcW w:w="2835" w:type="dxa"/>
            <w:tcBorders>
              <w:top w:val="nil"/>
              <w:left w:val="nil"/>
              <w:bottom w:val="single" w:sz="4" w:space="0" w:color="auto"/>
              <w:right w:val="single" w:sz="4" w:space="0" w:color="auto"/>
            </w:tcBorders>
            <w:noWrap/>
            <w:vAlign w:val="center"/>
            <w:hideMark/>
          </w:tcPr>
          <w:p w14:paraId="07FC952E" w14:textId="77777777" w:rsidR="00CA50A2" w:rsidRPr="009A7CD7" w:rsidRDefault="00CA50A2">
            <w:pPr>
              <w:jc w:val="center"/>
              <w:rPr>
                <w:color w:val="000000"/>
                <w:sz w:val="22"/>
                <w:szCs w:val="22"/>
              </w:rPr>
            </w:pPr>
            <w:r w:rsidRPr="009A7CD7">
              <w:rPr>
                <w:color w:val="000000"/>
                <w:sz w:val="22"/>
                <w:szCs w:val="22"/>
              </w:rPr>
              <w:t>2,2976</w:t>
            </w:r>
          </w:p>
        </w:tc>
        <w:tc>
          <w:tcPr>
            <w:tcW w:w="2268" w:type="dxa"/>
            <w:tcBorders>
              <w:top w:val="nil"/>
              <w:left w:val="nil"/>
              <w:bottom w:val="single" w:sz="4" w:space="0" w:color="auto"/>
              <w:right w:val="single" w:sz="4" w:space="0" w:color="auto"/>
            </w:tcBorders>
            <w:noWrap/>
            <w:vAlign w:val="center"/>
            <w:hideMark/>
          </w:tcPr>
          <w:p w14:paraId="7FF3C758" w14:textId="77777777" w:rsidR="00CA50A2" w:rsidRPr="009A7CD7" w:rsidRDefault="00CA50A2">
            <w:pPr>
              <w:jc w:val="center"/>
              <w:rPr>
                <w:color w:val="000000"/>
                <w:sz w:val="22"/>
                <w:szCs w:val="22"/>
              </w:rPr>
            </w:pPr>
            <w:r w:rsidRPr="009A7CD7">
              <w:rPr>
                <w:color w:val="000000"/>
                <w:sz w:val="22"/>
                <w:szCs w:val="22"/>
              </w:rPr>
              <w:t>2,2723</w:t>
            </w:r>
          </w:p>
        </w:tc>
        <w:tc>
          <w:tcPr>
            <w:tcW w:w="2835" w:type="dxa"/>
            <w:tcBorders>
              <w:top w:val="nil"/>
              <w:left w:val="nil"/>
              <w:bottom w:val="single" w:sz="4" w:space="0" w:color="auto"/>
              <w:right w:val="single" w:sz="2" w:space="0" w:color="auto"/>
            </w:tcBorders>
            <w:noWrap/>
            <w:vAlign w:val="center"/>
            <w:hideMark/>
          </w:tcPr>
          <w:p w14:paraId="46337FAB" w14:textId="77777777" w:rsidR="00CA50A2" w:rsidRPr="009A7CD7" w:rsidRDefault="00CA50A2" w:rsidP="006E1DA8">
            <w:pPr>
              <w:jc w:val="center"/>
              <w:rPr>
                <w:color w:val="000000"/>
                <w:sz w:val="22"/>
                <w:szCs w:val="22"/>
              </w:rPr>
            </w:pPr>
            <w:r w:rsidRPr="009A7CD7">
              <w:rPr>
                <w:color w:val="000000"/>
                <w:sz w:val="22"/>
                <w:szCs w:val="22"/>
              </w:rPr>
              <w:t>1.072.032,00</w:t>
            </w:r>
          </w:p>
        </w:tc>
      </w:tr>
      <w:tr w:rsidR="00CA50A2" w:rsidRPr="009A7CD7" w14:paraId="0A0D1BB8" w14:textId="77777777" w:rsidTr="00354918">
        <w:trPr>
          <w:trHeight w:val="310"/>
          <w:jc w:val="center"/>
        </w:trPr>
        <w:tc>
          <w:tcPr>
            <w:tcW w:w="2117" w:type="dxa"/>
            <w:tcBorders>
              <w:top w:val="nil"/>
              <w:left w:val="single" w:sz="2" w:space="0" w:color="auto"/>
              <w:bottom w:val="single" w:sz="4" w:space="0" w:color="auto"/>
              <w:right w:val="single" w:sz="4" w:space="0" w:color="auto"/>
            </w:tcBorders>
            <w:noWrap/>
            <w:vAlign w:val="bottom"/>
            <w:hideMark/>
          </w:tcPr>
          <w:p w14:paraId="10876FBC" w14:textId="77777777" w:rsidR="00CA50A2" w:rsidRPr="009A7CD7" w:rsidRDefault="00CA50A2">
            <w:pPr>
              <w:rPr>
                <w:color w:val="000000"/>
                <w:sz w:val="22"/>
                <w:szCs w:val="22"/>
              </w:rPr>
            </w:pPr>
            <w:r w:rsidRPr="009A7CD7">
              <w:rPr>
                <w:color w:val="000000"/>
                <w:sz w:val="22"/>
                <w:szCs w:val="22"/>
              </w:rPr>
              <w:t>Basilicata</w:t>
            </w:r>
          </w:p>
        </w:tc>
        <w:tc>
          <w:tcPr>
            <w:tcW w:w="2835" w:type="dxa"/>
            <w:tcBorders>
              <w:top w:val="nil"/>
              <w:left w:val="nil"/>
              <w:bottom w:val="single" w:sz="4" w:space="0" w:color="auto"/>
              <w:right w:val="single" w:sz="4" w:space="0" w:color="auto"/>
            </w:tcBorders>
            <w:noWrap/>
            <w:vAlign w:val="center"/>
            <w:hideMark/>
          </w:tcPr>
          <w:p w14:paraId="36D63984" w14:textId="77777777" w:rsidR="00CA50A2" w:rsidRPr="009A7CD7" w:rsidRDefault="00CA50A2">
            <w:pPr>
              <w:jc w:val="center"/>
              <w:rPr>
                <w:color w:val="000000"/>
                <w:sz w:val="22"/>
                <w:szCs w:val="22"/>
              </w:rPr>
            </w:pPr>
            <w:r w:rsidRPr="009A7CD7">
              <w:rPr>
                <w:color w:val="000000"/>
                <w:sz w:val="22"/>
                <w:szCs w:val="22"/>
              </w:rPr>
              <w:t>0,9419</w:t>
            </w:r>
          </w:p>
        </w:tc>
        <w:tc>
          <w:tcPr>
            <w:tcW w:w="2268" w:type="dxa"/>
            <w:tcBorders>
              <w:top w:val="nil"/>
              <w:left w:val="nil"/>
              <w:bottom w:val="single" w:sz="4" w:space="0" w:color="auto"/>
              <w:right w:val="single" w:sz="4" w:space="0" w:color="auto"/>
            </w:tcBorders>
            <w:noWrap/>
            <w:vAlign w:val="center"/>
            <w:hideMark/>
          </w:tcPr>
          <w:p w14:paraId="53695BF6" w14:textId="77777777" w:rsidR="00CA50A2" w:rsidRPr="009A7CD7" w:rsidRDefault="00CA50A2">
            <w:pPr>
              <w:jc w:val="center"/>
              <w:rPr>
                <w:color w:val="000000"/>
                <w:sz w:val="22"/>
                <w:szCs w:val="22"/>
              </w:rPr>
            </w:pPr>
            <w:r w:rsidRPr="009A7CD7">
              <w:rPr>
                <w:color w:val="000000"/>
                <w:sz w:val="22"/>
                <w:szCs w:val="22"/>
              </w:rPr>
              <w:t>1,1083</w:t>
            </w:r>
          </w:p>
        </w:tc>
        <w:tc>
          <w:tcPr>
            <w:tcW w:w="2835" w:type="dxa"/>
            <w:tcBorders>
              <w:top w:val="nil"/>
              <w:left w:val="nil"/>
              <w:bottom w:val="single" w:sz="4" w:space="0" w:color="auto"/>
              <w:right w:val="single" w:sz="2" w:space="0" w:color="auto"/>
            </w:tcBorders>
            <w:noWrap/>
            <w:vAlign w:val="center"/>
            <w:hideMark/>
          </w:tcPr>
          <w:p w14:paraId="0BF9D27F" w14:textId="77777777" w:rsidR="00CA50A2" w:rsidRPr="009A7CD7" w:rsidRDefault="00CA50A2" w:rsidP="006E1DA8">
            <w:pPr>
              <w:jc w:val="center"/>
              <w:rPr>
                <w:color w:val="000000"/>
                <w:sz w:val="22"/>
                <w:szCs w:val="22"/>
              </w:rPr>
            </w:pPr>
            <w:r w:rsidRPr="009A7CD7">
              <w:rPr>
                <w:color w:val="000000"/>
                <w:sz w:val="22"/>
                <w:szCs w:val="22"/>
              </w:rPr>
              <w:t>464.305,00</w:t>
            </w:r>
          </w:p>
        </w:tc>
      </w:tr>
      <w:tr w:rsidR="00CA50A2" w:rsidRPr="009A7CD7" w14:paraId="57168CE7" w14:textId="77777777" w:rsidTr="00354918">
        <w:trPr>
          <w:trHeight w:val="310"/>
          <w:jc w:val="center"/>
        </w:trPr>
        <w:tc>
          <w:tcPr>
            <w:tcW w:w="2117" w:type="dxa"/>
            <w:tcBorders>
              <w:top w:val="nil"/>
              <w:left w:val="single" w:sz="2" w:space="0" w:color="auto"/>
              <w:bottom w:val="single" w:sz="4" w:space="0" w:color="auto"/>
              <w:right w:val="single" w:sz="4" w:space="0" w:color="auto"/>
            </w:tcBorders>
            <w:noWrap/>
            <w:vAlign w:val="bottom"/>
            <w:hideMark/>
          </w:tcPr>
          <w:p w14:paraId="33ED238F" w14:textId="77777777" w:rsidR="00CA50A2" w:rsidRPr="009A7CD7" w:rsidRDefault="00CA50A2">
            <w:pPr>
              <w:rPr>
                <w:color w:val="000000"/>
                <w:sz w:val="22"/>
                <w:szCs w:val="22"/>
              </w:rPr>
            </w:pPr>
            <w:r w:rsidRPr="009A7CD7">
              <w:rPr>
                <w:color w:val="000000"/>
                <w:sz w:val="22"/>
                <w:szCs w:val="22"/>
              </w:rPr>
              <w:t>Calabria</w:t>
            </w:r>
          </w:p>
        </w:tc>
        <w:tc>
          <w:tcPr>
            <w:tcW w:w="2835" w:type="dxa"/>
            <w:tcBorders>
              <w:top w:val="nil"/>
              <w:left w:val="nil"/>
              <w:bottom w:val="single" w:sz="4" w:space="0" w:color="auto"/>
              <w:right w:val="single" w:sz="4" w:space="0" w:color="auto"/>
            </w:tcBorders>
            <w:noWrap/>
            <w:vAlign w:val="center"/>
            <w:hideMark/>
          </w:tcPr>
          <w:p w14:paraId="2B79E3E4" w14:textId="77777777" w:rsidR="00CA50A2" w:rsidRPr="009A7CD7" w:rsidRDefault="00CA50A2">
            <w:pPr>
              <w:jc w:val="center"/>
              <w:rPr>
                <w:color w:val="000000"/>
                <w:sz w:val="22"/>
                <w:szCs w:val="22"/>
              </w:rPr>
            </w:pPr>
            <w:r w:rsidRPr="009A7CD7">
              <w:rPr>
                <w:color w:val="000000"/>
                <w:sz w:val="22"/>
                <w:szCs w:val="22"/>
              </w:rPr>
              <w:t>3,0538</w:t>
            </w:r>
          </w:p>
        </w:tc>
        <w:tc>
          <w:tcPr>
            <w:tcW w:w="2268" w:type="dxa"/>
            <w:tcBorders>
              <w:top w:val="nil"/>
              <w:left w:val="nil"/>
              <w:bottom w:val="single" w:sz="4" w:space="0" w:color="auto"/>
              <w:right w:val="single" w:sz="4" w:space="0" w:color="auto"/>
            </w:tcBorders>
            <w:noWrap/>
            <w:vAlign w:val="center"/>
            <w:hideMark/>
          </w:tcPr>
          <w:p w14:paraId="7E286B7B" w14:textId="77777777" w:rsidR="00CA50A2" w:rsidRPr="009A7CD7" w:rsidRDefault="00CA50A2">
            <w:pPr>
              <w:jc w:val="center"/>
              <w:rPr>
                <w:color w:val="000000"/>
                <w:sz w:val="22"/>
                <w:szCs w:val="22"/>
              </w:rPr>
            </w:pPr>
            <w:r w:rsidRPr="009A7CD7">
              <w:rPr>
                <w:color w:val="000000"/>
                <w:sz w:val="22"/>
                <w:szCs w:val="22"/>
              </w:rPr>
              <w:t>5,0127</w:t>
            </w:r>
          </w:p>
        </w:tc>
        <w:tc>
          <w:tcPr>
            <w:tcW w:w="2835" w:type="dxa"/>
            <w:tcBorders>
              <w:top w:val="nil"/>
              <w:left w:val="nil"/>
              <w:bottom w:val="single" w:sz="4" w:space="0" w:color="auto"/>
              <w:right w:val="single" w:sz="2" w:space="0" w:color="auto"/>
            </w:tcBorders>
            <w:noWrap/>
            <w:vAlign w:val="center"/>
            <w:hideMark/>
          </w:tcPr>
          <w:p w14:paraId="6FB03CBA" w14:textId="77777777" w:rsidR="00CA50A2" w:rsidRPr="009A7CD7" w:rsidRDefault="00CA50A2" w:rsidP="006E1DA8">
            <w:pPr>
              <w:jc w:val="center"/>
              <w:rPr>
                <w:color w:val="000000"/>
                <w:sz w:val="22"/>
                <w:szCs w:val="22"/>
              </w:rPr>
            </w:pPr>
            <w:r w:rsidRPr="009A7CD7">
              <w:rPr>
                <w:color w:val="000000"/>
                <w:sz w:val="22"/>
                <w:szCs w:val="22"/>
              </w:rPr>
              <w:t>1.704.696,00</w:t>
            </w:r>
          </w:p>
        </w:tc>
      </w:tr>
      <w:tr w:rsidR="00CA50A2" w:rsidRPr="009A7CD7" w14:paraId="2C1F98B1" w14:textId="77777777" w:rsidTr="00354918">
        <w:trPr>
          <w:trHeight w:val="310"/>
          <w:jc w:val="center"/>
        </w:trPr>
        <w:tc>
          <w:tcPr>
            <w:tcW w:w="2117" w:type="dxa"/>
            <w:tcBorders>
              <w:top w:val="nil"/>
              <w:left w:val="single" w:sz="2" w:space="0" w:color="auto"/>
              <w:bottom w:val="single" w:sz="4" w:space="0" w:color="auto"/>
              <w:right w:val="single" w:sz="4" w:space="0" w:color="auto"/>
            </w:tcBorders>
            <w:noWrap/>
            <w:vAlign w:val="bottom"/>
            <w:hideMark/>
          </w:tcPr>
          <w:p w14:paraId="172851F6" w14:textId="77777777" w:rsidR="00CA50A2" w:rsidRPr="009A7CD7" w:rsidRDefault="00CA50A2">
            <w:pPr>
              <w:rPr>
                <w:color w:val="000000"/>
                <w:sz w:val="22"/>
                <w:szCs w:val="22"/>
              </w:rPr>
            </w:pPr>
            <w:r w:rsidRPr="009A7CD7">
              <w:rPr>
                <w:color w:val="000000"/>
                <w:sz w:val="22"/>
                <w:szCs w:val="22"/>
              </w:rPr>
              <w:t>Campania</w:t>
            </w:r>
          </w:p>
        </w:tc>
        <w:tc>
          <w:tcPr>
            <w:tcW w:w="2835" w:type="dxa"/>
            <w:tcBorders>
              <w:top w:val="nil"/>
              <w:left w:val="nil"/>
              <w:bottom w:val="single" w:sz="4" w:space="0" w:color="auto"/>
              <w:right w:val="single" w:sz="4" w:space="0" w:color="auto"/>
            </w:tcBorders>
            <w:noWrap/>
            <w:vAlign w:val="center"/>
            <w:hideMark/>
          </w:tcPr>
          <w:p w14:paraId="00DD0E42" w14:textId="77777777" w:rsidR="00CA50A2" w:rsidRPr="009A7CD7" w:rsidRDefault="00CA50A2">
            <w:pPr>
              <w:jc w:val="center"/>
              <w:rPr>
                <w:color w:val="000000"/>
                <w:sz w:val="22"/>
                <w:szCs w:val="22"/>
              </w:rPr>
            </w:pPr>
            <w:r w:rsidRPr="009A7CD7">
              <w:rPr>
                <w:color w:val="000000"/>
                <w:sz w:val="22"/>
                <w:szCs w:val="22"/>
              </w:rPr>
              <w:t>8,0060</w:t>
            </w:r>
          </w:p>
        </w:tc>
        <w:tc>
          <w:tcPr>
            <w:tcW w:w="2268" w:type="dxa"/>
            <w:tcBorders>
              <w:top w:val="nil"/>
              <w:left w:val="nil"/>
              <w:bottom w:val="single" w:sz="4" w:space="0" w:color="auto"/>
              <w:right w:val="single" w:sz="4" w:space="0" w:color="auto"/>
            </w:tcBorders>
            <w:noWrap/>
            <w:vAlign w:val="center"/>
            <w:hideMark/>
          </w:tcPr>
          <w:p w14:paraId="3B789CD2" w14:textId="77777777" w:rsidR="00CA50A2" w:rsidRPr="009A7CD7" w:rsidRDefault="00CA50A2">
            <w:pPr>
              <w:jc w:val="center"/>
              <w:rPr>
                <w:color w:val="000000"/>
                <w:sz w:val="22"/>
                <w:szCs w:val="22"/>
              </w:rPr>
            </w:pPr>
            <w:r w:rsidRPr="009A7CD7">
              <w:rPr>
                <w:color w:val="000000"/>
                <w:sz w:val="22"/>
                <w:szCs w:val="22"/>
              </w:rPr>
              <w:t>11,3724</w:t>
            </w:r>
          </w:p>
        </w:tc>
        <w:tc>
          <w:tcPr>
            <w:tcW w:w="2835" w:type="dxa"/>
            <w:tcBorders>
              <w:top w:val="nil"/>
              <w:left w:val="nil"/>
              <w:bottom w:val="single" w:sz="4" w:space="0" w:color="auto"/>
              <w:right w:val="single" w:sz="2" w:space="0" w:color="auto"/>
            </w:tcBorders>
            <w:noWrap/>
            <w:vAlign w:val="center"/>
            <w:hideMark/>
          </w:tcPr>
          <w:p w14:paraId="1D24E987" w14:textId="77777777" w:rsidR="00CA50A2" w:rsidRPr="009A7CD7" w:rsidRDefault="00CA50A2" w:rsidP="006E1DA8">
            <w:pPr>
              <w:jc w:val="center"/>
              <w:rPr>
                <w:color w:val="000000"/>
                <w:sz w:val="22"/>
                <w:szCs w:val="22"/>
              </w:rPr>
            </w:pPr>
            <w:r w:rsidRPr="009A7CD7">
              <w:rPr>
                <w:color w:val="000000"/>
                <w:sz w:val="22"/>
                <w:szCs w:val="22"/>
              </w:rPr>
              <w:t>4.220.659,00</w:t>
            </w:r>
          </w:p>
        </w:tc>
      </w:tr>
      <w:tr w:rsidR="00CA50A2" w:rsidRPr="009A7CD7" w14:paraId="73E33BAD" w14:textId="77777777" w:rsidTr="00354918">
        <w:trPr>
          <w:trHeight w:val="310"/>
          <w:jc w:val="center"/>
        </w:trPr>
        <w:tc>
          <w:tcPr>
            <w:tcW w:w="2117" w:type="dxa"/>
            <w:tcBorders>
              <w:top w:val="nil"/>
              <w:left w:val="single" w:sz="2" w:space="0" w:color="auto"/>
              <w:bottom w:val="single" w:sz="4" w:space="0" w:color="auto"/>
              <w:right w:val="single" w:sz="4" w:space="0" w:color="auto"/>
            </w:tcBorders>
            <w:noWrap/>
            <w:vAlign w:val="bottom"/>
            <w:hideMark/>
          </w:tcPr>
          <w:p w14:paraId="53317E10" w14:textId="77777777" w:rsidR="00CA50A2" w:rsidRPr="009A7CD7" w:rsidRDefault="00CA50A2">
            <w:pPr>
              <w:rPr>
                <w:color w:val="000000"/>
                <w:sz w:val="22"/>
                <w:szCs w:val="22"/>
              </w:rPr>
            </w:pPr>
            <w:r w:rsidRPr="009A7CD7">
              <w:rPr>
                <w:color w:val="000000"/>
                <w:sz w:val="22"/>
                <w:szCs w:val="22"/>
              </w:rPr>
              <w:t>Emilia-Romagna</w:t>
            </w:r>
          </w:p>
        </w:tc>
        <w:tc>
          <w:tcPr>
            <w:tcW w:w="2835" w:type="dxa"/>
            <w:tcBorders>
              <w:top w:val="nil"/>
              <w:left w:val="nil"/>
              <w:bottom w:val="single" w:sz="4" w:space="0" w:color="auto"/>
              <w:right w:val="single" w:sz="4" w:space="0" w:color="auto"/>
            </w:tcBorders>
            <w:noWrap/>
            <w:vAlign w:val="center"/>
            <w:hideMark/>
          </w:tcPr>
          <w:p w14:paraId="2CBE1BC2" w14:textId="77777777" w:rsidR="00CA50A2" w:rsidRPr="009A7CD7" w:rsidRDefault="00CA50A2">
            <w:pPr>
              <w:jc w:val="center"/>
              <w:rPr>
                <w:color w:val="000000"/>
                <w:sz w:val="22"/>
                <w:szCs w:val="22"/>
              </w:rPr>
            </w:pPr>
            <w:r w:rsidRPr="009A7CD7">
              <w:rPr>
                <w:color w:val="000000"/>
                <w:sz w:val="22"/>
                <w:szCs w:val="22"/>
              </w:rPr>
              <w:t>7,8417</w:t>
            </w:r>
          </w:p>
        </w:tc>
        <w:tc>
          <w:tcPr>
            <w:tcW w:w="2268" w:type="dxa"/>
            <w:tcBorders>
              <w:top w:val="nil"/>
              <w:left w:val="nil"/>
              <w:bottom w:val="single" w:sz="4" w:space="0" w:color="auto"/>
              <w:right w:val="single" w:sz="4" w:space="0" w:color="auto"/>
            </w:tcBorders>
            <w:noWrap/>
            <w:vAlign w:val="center"/>
            <w:hideMark/>
          </w:tcPr>
          <w:p w14:paraId="143BA331" w14:textId="77777777" w:rsidR="00CA50A2" w:rsidRPr="009A7CD7" w:rsidRDefault="00CA50A2">
            <w:pPr>
              <w:jc w:val="center"/>
              <w:rPr>
                <w:color w:val="000000"/>
                <w:sz w:val="22"/>
                <w:szCs w:val="22"/>
              </w:rPr>
            </w:pPr>
            <w:r w:rsidRPr="009A7CD7">
              <w:rPr>
                <w:color w:val="000000"/>
                <w:sz w:val="22"/>
                <w:szCs w:val="22"/>
              </w:rPr>
              <w:t>5,8292</w:t>
            </w:r>
          </w:p>
        </w:tc>
        <w:tc>
          <w:tcPr>
            <w:tcW w:w="2835" w:type="dxa"/>
            <w:tcBorders>
              <w:top w:val="nil"/>
              <w:left w:val="nil"/>
              <w:bottom w:val="single" w:sz="4" w:space="0" w:color="auto"/>
              <w:right w:val="single" w:sz="2" w:space="0" w:color="auto"/>
            </w:tcBorders>
            <w:noWrap/>
            <w:vAlign w:val="center"/>
            <w:hideMark/>
          </w:tcPr>
          <w:p w14:paraId="4EF04DBD" w14:textId="77777777" w:rsidR="00CA50A2" w:rsidRPr="009A7CD7" w:rsidRDefault="00CA50A2" w:rsidP="006E1DA8">
            <w:pPr>
              <w:jc w:val="center"/>
              <w:rPr>
                <w:color w:val="000000"/>
                <w:sz w:val="22"/>
                <w:szCs w:val="22"/>
              </w:rPr>
            </w:pPr>
            <w:r w:rsidRPr="009A7CD7">
              <w:rPr>
                <w:color w:val="000000"/>
                <w:sz w:val="22"/>
                <w:szCs w:val="22"/>
              </w:rPr>
              <w:t>3.388.331,00</w:t>
            </w:r>
          </w:p>
        </w:tc>
      </w:tr>
      <w:tr w:rsidR="00CA50A2" w:rsidRPr="009A7CD7" w14:paraId="1E4C2A1D" w14:textId="77777777" w:rsidTr="00354918">
        <w:trPr>
          <w:trHeight w:val="310"/>
          <w:jc w:val="center"/>
        </w:trPr>
        <w:tc>
          <w:tcPr>
            <w:tcW w:w="2117" w:type="dxa"/>
            <w:tcBorders>
              <w:top w:val="nil"/>
              <w:left w:val="single" w:sz="2" w:space="0" w:color="auto"/>
              <w:bottom w:val="single" w:sz="4" w:space="0" w:color="auto"/>
              <w:right w:val="single" w:sz="4" w:space="0" w:color="auto"/>
            </w:tcBorders>
            <w:noWrap/>
            <w:vAlign w:val="bottom"/>
            <w:hideMark/>
          </w:tcPr>
          <w:p w14:paraId="6F754AE4" w14:textId="77777777" w:rsidR="00CA50A2" w:rsidRPr="009A7CD7" w:rsidRDefault="00CA50A2">
            <w:pPr>
              <w:rPr>
                <w:color w:val="000000"/>
                <w:sz w:val="22"/>
                <w:szCs w:val="22"/>
              </w:rPr>
            </w:pPr>
            <w:r w:rsidRPr="009A7CD7">
              <w:rPr>
                <w:color w:val="000000"/>
                <w:sz w:val="22"/>
                <w:szCs w:val="22"/>
              </w:rPr>
              <w:t>Friuli-Venezia Giulia</w:t>
            </w:r>
          </w:p>
        </w:tc>
        <w:tc>
          <w:tcPr>
            <w:tcW w:w="2835" w:type="dxa"/>
            <w:tcBorders>
              <w:top w:val="nil"/>
              <w:left w:val="nil"/>
              <w:bottom w:val="single" w:sz="4" w:space="0" w:color="auto"/>
              <w:right w:val="single" w:sz="4" w:space="0" w:color="auto"/>
            </w:tcBorders>
            <w:noWrap/>
            <w:vAlign w:val="center"/>
            <w:hideMark/>
          </w:tcPr>
          <w:p w14:paraId="01C6EE2A" w14:textId="77777777" w:rsidR="00CA50A2" w:rsidRPr="009A7CD7" w:rsidRDefault="00CA50A2">
            <w:pPr>
              <w:jc w:val="center"/>
              <w:rPr>
                <w:color w:val="000000"/>
                <w:sz w:val="22"/>
                <w:szCs w:val="22"/>
              </w:rPr>
            </w:pPr>
            <w:r w:rsidRPr="009A7CD7">
              <w:rPr>
                <w:color w:val="000000"/>
                <w:sz w:val="22"/>
                <w:szCs w:val="22"/>
              </w:rPr>
              <w:t>2,3505</w:t>
            </w:r>
          </w:p>
        </w:tc>
        <w:tc>
          <w:tcPr>
            <w:tcW w:w="2268" w:type="dxa"/>
            <w:tcBorders>
              <w:top w:val="nil"/>
              <w:left w:val="nil"/>
              <w:bottom w:val="single" w:sz="4" w:space="0" w:color="auto"/>
              <w:right w:val="single" w:sz="4" w:space="0" w:color="auto"/>
            </w:tcBorders>
            <w:noWrap/>
            <w:vAlign w:val="center"/>
            <w:hideMark/>
          </w:tcPr>
          <w:p w14:paraId="47AB72EF" w14:textId="77777777" w:rsidR="00CA50A2" w:rsidRPr="009A7CD7" w:rsidRDefault="00CA50A2">
            <w:pPr>
              <w:jc w:val="center"/>
              <w:rPr>
                <w:color w:val="000000"/>
                <w:sz w:val="22"/>
                <w:szCs w:val="22"/>
              </w:rPr>
            </w:pPr>
            <w:r w:rsidRPr="009A7CD7">
              <w:rPr>
                <w:color w:val="000000"/>
                <w:sz w:val="22"/>
                <w:szCs w:val="22"/>
              </w:rPr>
              <w:t>1,8274</w:t>
            </w:r>
          </w:p>
        </w:tc>
        <w:tc>
          <w:tcPr>
            <w:tcW w:w="2835" w:type="dxa"/>
            <w:tcBorders>
              <w:top w:val="nil"/>
              <w:left w:val="nil"/>
              <w:bottom w:val="single" w:sz="4" w:space="0" w:color="auto"/>
              <w:right w:val="single" w:sz="2" w:space="0" w:color="auto"/>
            </w:tcBorders>
            <w:noWrap/>
            <w:vAlign w:val="center"/>
            <w:hideMark/>
          </w:tcPr>
          <w:p w14:paraId="17652514" w14:textId="77777777" w:rsidR="00CA50A2" w:rsidRPr="009A7CD7" w:rsidRDefault="00CA50A2" w:rsidP="006E1DA8">
            <w:pPr>
              <w:jc w:val="center"/>
              <w:rPr>
                <w:color w:val="000000"/>
                <w:sz w:val="22"/>
                <w:szCs w:val="22"/>
              </w:rPr>
            </w:pPr>
            <w:r w:rsidRPr="009A7CD7">
              <w:rPr>
                <w:color w:val="000000"/>
                <w:sz w:val="22"/>
                <w:szCs w:val="22"/>
              </w:rPr>
              <w:t>1.026.885,00</w:t>
            </w:r>
          </w:p>
        </w:tc>
      </w:tr>
      <w:tr w:rsidR="00CA50A2" w:rsidRPr="009A7CD7" w14:paraId="43BD9EBB" w14:textId="77777777" w:rsidTr="00354918">
        <w:trPr>
          <w:trHeight w:val="310"/>
          <w:jc w:val="center"/>
        </w:trPr>
        <w:tc>
          <w:tcPr>
            <w:tcW w:w="2117" w:type="dxa"/>
            <w:tcBorders>
              <w:top w:val="nil"/>
              <w:left w:val="single" w:sz="2" w:space="0" w:color="auto"/>
              <w:bottom w:val="single" w:sz="4" w:space="0" w:color="auto"/>
              <w:right w:val="single" w:sz="4" w:space="0" w:color="auto"/>
            </w:tcBorders>
            <w:noWrap/>
            <w:vAlign w:val="bottom"/>
            <w:hideMark/>
          </w:tcPr>
          <w:p w14:paraId="6AF856B3" w14:textId="77777777" w:rsidR="00CA50A2" w:rsidRPr="009A7CD7" w:rsidRDefault="00CA50A2">
            <w:pPr>
              <w:rPr>
                <w:color w:val="000000"/>
                <w:sz w:val="22"/>
                <w:szCs w:val="22"/>
              </w:rPr>
            </w:pPr>
            <w:r w:rsidRPr="009A7CD7">
              <w:rPr>
                <w:color w:val="000000"/>
                <w:sz w:val="22"/>
                <w:szCs w:val="22"/>
              </w:rPr>
              <w:t>Lazio</w:t>
            </w:r>
          </w:p>
        </w:tc>
        <w:tc>
          <w:tcPr>
            <w:tcW w:w="2835" w:type="dxa"/>
            <w:tcBorders>
              <w:top w:val="nil"/>
              <w:left w:val="nil"/>
              <w:bottom w:val="single" w:sz="4" w:space="0" w:color="auto"/>
              <w:right w:val="single" w:sz="4" w:space="0" w:color="auto"/>
            </w:tcBorders>
            <w:noWrap/>
            <w:vAlign w:val="center"/>
            <w:hideMark/>
          </w:tcPr>
          <w:p w14:paraId="54230BC2" w14:textId="77777777" w:rsidR="00CA50A2" w:rsidRPr="009A7CD7" w:rsidRDefault="00CA50A2">
            <w:pPr>
              <w:jc w:val="center"/>
              <w:rPr>
                <w:color w:val="000000"/>
                <w:sz w:val="22"/>
                <w:szCs w:val="22"/>
              </w:rPr>
            </w:pPr>
            <w:r w:rsidRPr="009A7CD7">
              <w:rPr>
                <w:color w:val="000000"/>
                <w:sz w:val="22"/>
                <w:szCs w:val="22"/>
              </w:rPr>
              <w:t>9,4276</w:t>
            </w:r>
          </w:p>
        </w:tc>
        <w:tc>
          <w:tcPr>
            <w:tcW w:w="2268" w:type="dxa"/>
            <w:tcBorders>
              <w:top w:val="nil"/>
              <w:left w:val="nil"/>
              <w:bottom w:val="single" w:sz="4" w:space="0" w:color="auto"/>
              <w:right w:val="single" w:sz="4" w:space="0" w:color="auto"/>
            </w:tcBorders>
            <w:noWrap/>
            <w:vAlign w:val="center"/>
            <w:hideMark/>
          </w:tcPr>
          <w:p w14:paraId="5F86FFB2" w14:textId="77777777" w:rsidR="00CA50A2" w:rsidRPr="009A7CD7" w:rsidRDefault="00CA50A2">
            <w:pPr>
              <w:jc w:val="center"/>
              <w:rPr>
                <w:color w:val="000000"/>
                <w:sz w:val="22"/>
                <w:szCs w:val="22"/>
              </w:rPr>
            </w:pPr>
            <w:r w:rsidRPr="009A7CD7">
              <w:rPr>
                <w:color w:val="000000"/>
                <w:sz w:val="22"/>
                <w:szCs w:val="22"/>
              </w:rPr>
              <w:t>11,2581</w:t>
            </w:r>
          </w:p>
        </w:tc>
        <w:tc>
          <w:tcPr>
            <w:tcW w:w="2835" w:type="dxa"/>
            <w:tcBorders>
              <w:top w:val="nil"/>
              <w:left w:val="nil"/>
              <w:bottom w:val="single" w:sz="4" w:space="0" w:color="auto"/>
              <w:right w:val="single" w:sz="2" w:space="0" w:color="auto"/>
            </w:tcBorders>
            <w:noWrap/>
            <w:vAlign w:val="center"/>
            <w:hideMark/>
          </w:tcPr>
          <w:p w14:paraId="590C30EB" w14:textId="77777777" w:rsidR="00CA50A2" w:rsidRPr="009A7CD7" w:rsidRDefault="00CA50A2" w:rsidP="006E1DA8">
            <w:pPr>
              <w:jc w:val="center"/>
              <w:rPr>
                <w:color w:val="000000"/>
                <w:sz w:val="22"/>
                <w:szCs w:val="22"/>
              </w:rPr>
            </w:pPr>
            <w:r w:rsidRPr="009A7CD7">
              <w:rPr>
                <w:color w:val="000000"/>
                <w:sz w:val="22"/>
                <w:szCs w:val="22"/>
              </w:rPr>
              <w:t>4.670.457,00</w:t>
            </w:r>
          </w:p>
        </w:tc>
      </w:tr>
      <w:tr w:rsidR="00CA50A2" w:rsidRPr="009A7CD7" w14:paraId="34C73523" w14:textId="77777777" w:rsidTr="00354918">
        <w:trPr>
          <w:trHeight w:val="310"/>
          <w:jc w:val="center"/>
        </w:trPr>
        <w:tc>
          <w:tcPr>
            <w:tcW w:w="2117" w:type="dxa"/>
            <w:tcBorders>
              <w:top w:val="nil"/>
              <w:left w:val="single" w:sz="2" w:space="0" w:color="auto"/>
              <w:bottom w:val="single" w:sz="4" w:space="0" w:color="auto"/>
              <w:right w:val="single" w:sz="4" w:space="0" w:color="auto"/>
            </w:tcBorders>
            <w:noWrap/>
            <w:vAlign w:val="bottom"/>
            <w:hideMark/>
          </w:tcPr>
          <w:p w14:paraId="5C7F5355" w14:textId="77777777" w:rsidR="00CA50A2" w:rsidRPr="009A7CD7" w:rsidRDefault="00CA50A2">
            <w:pPr>
              <w:rPr>
                <w:color w:val="000000"/>
                <w:sz w:val="22"/>
                <w:szCs w:val="22"/>
              </w:rPr>
            </w:pPr>
            <w:r w:rsidRPr="009A7CD7">
              <w:rPr>
                <w:color w:val="000000"/>
                <w:sz w:val="22"/>
                <w:szCs w:val="22"/>
              </w:rPr>
              <w:t>Liguria</w:t>
            </w:r>
          </w:p>
        </w:tc>
        <w:tc>
          <w:tcPr>
            <w:tcW w:w="2835" w:type="dxa"/>
            <w:tcBorders>
              <w:top w:val="nil"/>
              <w:left w:val="nil"/>
              <w:bottom w:val="single" w:sz="4" w:space="0" w:color="auto"/>
              <w:right w:val="single" w:sz="4" w:space="0" w:color="auto"/>
            </w:tcBorders>
            <w:noWrap/>
            <w:vAlign w:val="center"/>
            <w:hideMark/>
          </w:tcPr>
          <w:p w14:paraId="1BACD732" w14:textId="77777777" w:rsidR="00CA50A2" w:rsidRPr="009A7CD7" w:rsidRDefault="00CA50A2">
            <w:pPr>
              <w:jc w:val="center"/>
              <w:rPr>
                <w:color w:val="000000"/>
                <w:sz w:val="22"/>
                <w:szCs w:val="22"/>
              </w:rPr>
            </w:pPr>
            <w:r w:rsidRPr="009A7CD7">
              <w:rPr>
                <w:color w:val="000000"/>
                <w:sz w:val="22"/>
                <w:szCs w:val="22"/>
              </w:rPr>
              <w:t>3,1638</w:t>
            </w:r>
          </w:p>
        </w:tc>
        <w:tc>
          <w:tcPr>
            <w:tcW w:w="2268" w:type="dxa"/>
            <w:tcBorders>
              <w:top w:val="nil"/>
              <w:left w:val="nil"/>
              <w:bottom w:val="single" w:sz="4" w:space="0" w:color="auto"/>
              <w:right w:val="single" w:sz="4" w:space="0" w:color="auto"/>
            </w:tcBorders>
            <w:noWrap/>
            <w:vAlign w:val="center"/>
            <w:hideMark/>
          </w:tcPr>
          <w:p w14:paraId="50C8618B" w14:textId="77777777" w:rsidR="00CA50A2" w:rsidRPr="009A7CD7" w:rsidRDefault="00CA50A2">
            <w:pPr>
              <w:jc w:val="center"/>
              <w:rPr>
                <w:color w:val="000000"/>
                <w:sz w:val="22"/>
                <w:szCs w:val="22"/>
              </w:rPr>
            </w:pPr>
            <w:r w:rsidRPr="009A7CD7">
              <w:rPr>
                <w:color w:val="000000"/>
                <w:sz w:val="22"/>
                <w:szCs w:val="22"/>
              </w:rPr>
              <w:t>2,3372</w:t>
            </w:r>
          </w:p>
        </w:tc>
        <w:tc>
          <w:tcPr>
            <w:tcW w:w="2835" w:type="dxa"/>
            <w:tcBorders>
              <w:top w:val="nil"/>
              <w:left w:val="nil"/>
              <w:bottom w:val="single" w:sz="4" w:space="0" w:color="auto"/>
              <w:right w:val="single" w:sz="2" w:space="0" w:color="auto"/>
            </w:tcBorders>
            <w:noWrap/>
            <w:vAlign w:val="center"/>
            <w:hideMark/>
          </w:tcPr>
          <w:p w14:paraId="3252FD2B" w14:textId="77777777" w:rsidR="00CA50A2" w:rsidRPr="009A7CD7" w:rsidRDefault="00CA50A2" w:rsidP="006E1DA8">
            <w:pPr>
              <w:jc w:val="center"/>
              <w:rPr>
                <w:color w:val="000000"/>
                <w:sz w:val="22"/>
                <w:szCs w:val="22"/>
              </w:rPr>
            </w:pPr>
            <w:r w:rsidRPr="009A7CD7">
              <w:rPr>
                <w:color w:val="000000"/>
                <w:sz w:val="22"/>
                <w:szCs w:val="22"/>
              </w:rPr>
              <w:t>1.364.995,00</w:t>
            </w:r>
          </w:p>
        </w:tc>
      </w:tr>
      <w:tr w:rsidR="00CA50A2" w:rsidRPr="009A7CD7" w14:paraId="2E1A8868" w14:textId="77777777" w:rsidTr="00354918">
        <w:trPr>
          <w:trHeight w:val="310"/>
          <w:jc w:val="center"/>
        </w:trPr>
        <w:tc>
          <w:tcPr>
            <w:tcW w:w="2117" w:type="dxa"/>
            <w:tcBorders>
              <w:top w:val="nil"/>
              <w:left w:val="single" w:sz="2" w:space="0" w:color="auto"/>
              <w:bottom w:val="single" w:sz="4" w:space="0" w:color="auto"/>
              <w:right w:val="single" w:sz="4" w:space="0" w:color="auto"/>
            </w:tcBorders>
            <w:noWrap/>
            <w:vAlign w:val="bottom"/>
            <w:hideMark/>
          </w:tcPr>
          <w:p w14:paraId="594E4360" w14:textId="77777777" w:rsidR="00CA50A2" w:rsidRPr="009A7CD7" w:rsidRDefault="00CA50A2">
            <w:pPr>
              <w:rPr>
                <w:color w:val="000000"/>
                <w:sz w:val="22"/>
                <w:szCs w:val="22"/>
              </w:rPr>
            </w:pPr>
            <w:r w:rsidRPr="009A7CD7">
              <w:rPr>
                <w:color w:val="000000"/>
                <w:sz w:val="22"/>
                <w:szCs w:val="22"/>
              </w:rPr>
              <w:t>Lombardia</w:t>
            </w:r>
          </w:p>
        </w:tc>
        <w:tc>
          <w:tcPr>
            <w:tcW w:w="2835" w:type="dxa"/>
            <w:tcBorders>
              <w:top w:val="nil"/>
              <w:left w:val="nil"/>
              <w:bottom w:val="single" w:sz="4" w:space="0" w:color="auto"/>
              <w:right w:val="single" w:sz="4" w:space="0" w:color="auto"/>
            </w:tcBorders>
            <w:noWrap/>
            <w:vAlign w:val="center"/>
            <w:hideMark/>
          </w:tcPr>
          <w:p w14:paraId="2A7B948A" w14:textId="77777777" w:rsidR="00CA50A2" w:rsidRPr="009A7CD7" w:rsidRDefault="00CA50A2">
            <w:pPr>
              <w:jc w:val="center"/>
              <w:rPr>
                <w:color w:val="000000"/>
                <w:sz w:val="22"/>
                <w:szCs w:val="22"/>
              </w:rPr>
            </w:pPr>
            <w:r w:rsidRPr="009A7CD7">
              <w:rPr>
                <w:color w:val="000000"/>
                <w:sz w:val="22"/>
                <w:szCs w:val="22"/>
              </w:rPr>
              <w:t>16,8501</w:t>
            </w:r>
          </w:p>
        </w:tc>
        <w:tc>
          <w:tcPr>
            <w:tcW w:w="2268" w:type="dxa"/>
            <w:tcBorders>
              <w:top w:val="nil"/>
              <w:left w:val="nil"/>
              <w:bottom w:val="single" w:sz="4" w:space="0" w:color="auto"/>
              <w:right w:val="single" w:sz="4" w:space="0" w:color="auto"/>
            </w:tcBorders>
            <w:noWrap/>
            <w:vAlign w:val="center"/>
            <w:hideMark/>
          </w:tcPr>
          <w:p w14:paraId="61FE43BA" w14:textId="77777777" w:rsidR="00CA50A2" w:rsidRPr="009A7CD7" w:rsidRDefault="00CA50A2">
            <w:pPr>
              <w:jc w:val="center"/>
              <w:rPr>
                <w:color w:val="000000"/>
                <w:sz w:val="22"/>
                <w:szCs w:val="22"/>
              </w:rPr>
            </w:pPr>
            <w:r w:rsidRPr="009A7CD7">
              <w:rPr>
                <w:color w:val="000000"/>
                <w:sz w:val="22"/>
                <w:szCs w:val="22"/>
              </w:rPr>
              <w:t>13,8392</w:t>
            </w:r>
          </w:p>
        </w:tc>
        <w:tc>
          <w:tcPr>
            <w:tcW w:w="2835" w:type="dxa"/>
            <w:tcBorders>
              <w:top w:val="nil"/>
              <w:left w:val="nil"/>
              <w:bottom w:val="single" w:sz="4" w:space="0" w:color="auto"/>
              <w:right w:val="single" w:sz="2" w:space="0" w:color="auto"/>
            </w:tcBorders>
            <w:noWrap/>
            <w:vAlign w:val="center"/>
            <w:hideMark/>
          </w:tcPr>
          <w:p w14:paraId="72792F5A" w14:textId="77777777" w:rsidR="00CA50A2" w:rsidRPr="009A7CD7" w:rsidRDefault="00CA50A2" w:rsidP="006E1DA8">
            <w:pPr>
              <w:jc w:val="center"/>
              <w:rPr>
                <w:color w:val="000000"/>
                <w:sz w:val="22"/>
                <w:szCs w:val="22"/>
              </w:rPr>
            </w:pPr>
            <w:r w:rsidRPr="009A7CD7">
              <w:rPr>
                <w:color w:val="000000"/>
                <w:sz w:val="22"/>
                <w:szCs w:val="22"/>
              </w:rPr>
              <w:t>7.465.254,00</w:t>
            </w:r>
          </w:p>
        </w:tc>
      </w:tr>
      <w:tr w:rsidR="00CA50A2" w:rsidRPr="009A7CD7" w14:paraId="00A5A989" w14:textId="77777777" w:rsidTr="00354918">
        <w:trPr>
          <w:trHeight w:val="310"/>
          <w:jc w:val="center"/>
        </w:trPr>
        <w:tc>
          <w:tcPr>
            <w:tcW w:w="2117" w:type="dxa"/>
            <w:tcBorders>
              <w:top w:val="nil"/>
              <w:left w:val="single" w:sz="2" w:space="0" w:color="auto"/>
              <w:bottom w:val="single" w:sz="4" w:space="0" w:color="auto"/>
              <w:right w:val="single" w:sz="4" w:space="0" w:color="auto"/>
            </w:tcBorders>
            <w:noWrap/>
            <w:vAlign w:val="bottom"/>
            <w:hideMark/>
          </w:tcPr>
          <w:p w14:paraId="4AEFC93C" w14:textId="77777777" w:rsidR="00CA50A2" w:rsidRPr="009A7CD7" w:rsidRDefault="00CA50A2">
            <w:pPr>
              <w:rPr>
                <w:color w:val="000000"/>
                <w:sz w:val="22"/>
                <w:szCs w:val="22"/>
              </w:rPr>
            </w:pPr>
            <w:r w:rsidRPr="009A7CD7">
              <w:rPr>
                <w:color w:val="000000"/>
                <w:sz w:val="22"/>
                <w:szCs w:val="22"/>
              </w:rPr>
              <w:t>Marche</w:t>
            </w:r>
          </w:p>
        </w:tc>
        <w:tc>
          <w:tcPr>
            <w:tcW w:w="2835" w:type="dxa"/>
            <w:tcBorders>
              <w:top w:val="nil"/>
              <w:left w:val="nil"/>
              <w:bottom w:val="single" w:sz="4" w:space="0" w:color="auto"/>
              <w:right w:val="single" w:sz="4" w:space="0" w:color="auto"/>
            </w:tcBorders>
            <w:noWrap/>
            <w:vAlign w:val="center"/>
            <w:hideMark/>
          </w:tcPr>
          <w:p w14:paraId="6C07D943" w14:textId="77777777" w:rsidR="00CA50A2" w:rsidRPr="009A7CD7" w:rsidRDefault="00CA50A2">
            <w:pPr>
              <w:jc w:val="center"/>
              <w:rPr>
                <w:color w:val="000000"/>
                <w:sz w:val="22"/>
                <w:szCs w:val="22"/>
              </w:rPr>
            </w:pPr>
            <w:r w:rsidRPr="009A7CD7">
              <w:rPr>
                <w:color w:val="000000"/>
                <w:sz w:val="22"/>
                <w:szCs w:val="22"/>
              </w:rPr>
              <w:t>2,7753</w:t>
            </w:r>
          </w:p>
        </w:tc>
        <w:tc>
          <w:tcPr>
            <w:tcW w:w="2268" w:type="dxa"/>
            <w:tcBorders>
              <w:top w:val="nil"/>
              <w:left w:val="nil"/>
              <w:bottom w:val="single" w:sz="4" w:space="0" w:color="auto"/>
              <w:right w:val="single" w:sz="4" w:space="0" w:color="auto"/>
            </w:tcBorders>
            <w:noWrap/>
            <w:vAlign w:val="center"/>
            <w:hideMark/>
          </w:tcPr>
          <w:p w14:paraId="0426D0B6" w14:textId="77777777" w:rsidR="00CA50A2" w:rsidRPr="009A7CD7" w:rsidRDefault="00CA50A2">
            <w:pPr>
              <w:jc w:val="center"/>
              <w:rPr>
                <w:color w:val="000000"/>
                <w:sz w:val="22"/>
                <w:szCs w:val="22"/>
              </w:rPr>
            </w:pPr>
            <w:r w:rsidRPr="009A7CD7">
              <w:rPr>
                <w:color w:val="000000"/>
                <w:sz w:val="22"/>
                <w:szCs w:val="22"/>
              </w:rPr>
              <w:t>2,9941</w:t>
            </w:r>
          </w:p>
        </w:tc>
        <w:tc>
          <w:tcPr>
            <w:tcW w:w="2835" w:type="dxa"/>
            <w:tcBorders>
              <w:top w:val="nil"/>
              <w:left w:val="nil"/>
              <w:bottom w:val="single" w:sz="4" w:space="0" w:color="auto"/>
              <w:right w:val="single" w:sz="2" w:space="0" w:color="auto"/>
            </w:tcBorders>
            <w:noWrap/>
            <w:vAlign w:val="center"/>
            <w:hideMark/>
          </w:tcPr>
          <w:p w14:paraId="602182D9" w14:textId="77777777" w:rsidR="00CA50A2" w:rsidRPr="009A7CD7" w:rsidRDefault="00CA50A2" w:rsidP="006E1DA8">
            <w:pPr>
              <w:jc w:val="center"/>
              <w:rPr>
                <w:color w:val="000000"/>
                <w:sz w:val="22"/>
                <w:szCs w:val="22"/>
              </w:rPr>
            </w:pPr>
            <w:r w:rsidRPr="009A7CD7">
              <w:rPr>
                <w:color w:val="000000"/>
                <w:sz w:val="22"/>
                <w:szCs w:val="22"/>
              </w:rPr>
              <w:t>1.329.941,00</w:t>
            </w:r>
          </w:p>
        </w:tc>
      </w:tr>
      <w:tr w:rsidR="00CA50A2" w:rsidRPr="009A7CD7" w14:paraId="7BED1D59" w14:textId="77777777" w:rsidTr="00354918">
        <w:trPr>
          <w:trHeight w:val="310"/>
          <w:jc w:val="center"/>
        </w:trPr>
        <w:tc>
          <w:tcPr>
            <w:tcW w:w="2117" w:type="dxa"/>
            <w:tcBorders>
              <w:top w:val="nil"/>
              <w:left w:val="single" w:sz="2" w:space="0" w:color="auto"/>
              <w:bottom w:val="single" w:sz="4" w:space="0" w:color="auto"/>
              <w:right w:val="single" w:sz="4" w:space="0" w:color="auto"/>
            </w:tcBorders>
            <w:noWrap/>
            <w:vAlign w:val="bottom"/>
            <w:hideMark/>
          </w:tcPr>
          <w:p w14:paraId="6E65930E" w14:textId="77777777" w:rsidR="00CA50A2" w:rsidRPr="009A7CD7" w:rsidRDefault="00CA50A2">
            <w:pPr>
              <w:rPr>
                <w:color w:val="000000"/>
                <w:sz w:val="22"/>
                <w:szCs w:val="22"/>
              </w:rPr>
            </w:pPr>
            <w:r w:rsidRPr="009A7CD7">
              <w:rPr>
                <w:color w:val="000000"/>
                <w:sz w:val="22"/>
                <w:szCs w:val="22"/>
              </w:rPr>
              <w:t>Molise</w:t>
            </w:r>
          </w:p>
        </w:tc>
        <w:tc>
          <w:tcPr>
            <w:tcW w:w="2835" w:type="dxa"/>
            <w:tcBorders>
              <w:top w:val="nil"/>
              <w:left w:val="nil"/>
              <w:bottom w:val="single" w:sz="4" w:space="0" w:color="auto"/>
              <w:right w:val="single" w:sz="4" w:space="0" w:color="auto"/>
            </w:tcBorders>
            <w:noWrap/>
            <w:vAlign w:val="center"/>
            <w:hideMark/>
          </w:tcPr>
          <w:p w14:paraId="49C77952" w14:textId="77777777" w:rsidR="00CA50A2" w:rsidRPr="009A7CD7" w:rsidRDefault="00CA50A2">
            <w:pPr>
              <w:jc w:val="center"/>
              <w:rPr>
                <w:color w:val="000000"/>
                <w:sz w:val="22"/>
                <w:szCs w:val="22"/>
              </w:rPr>
            </w:pPr>
            <w:r w:rsidRPr="009A7CD7">
              <w:rPr>
                <w:color w:val="000000"/>
                <w:sz w:val="22"/>
                <w:szCs w:val="22"/>
              </w:rPr>
              <w:t>0,5435</w:t>
            </w:r>
          </w:p>
        </w:tc>
        <w:tc>
          <w:tcPr>
            <w:tcW w:w="2268" w:type="dxa"/>
            <w:tcBorders>
              <w:top w:val="nil"/>
              <w:left w:val="nil"/>
              <w:bottom w:val="single" w:sz="4" w:space="0" w:color="auto"/>
              <w:right w:val="single" w:sz="4" w:space="0" w:color="auto"/>
            </w:tcBorders>
            <w:noWrap/>
            <w:vAlign w:val="center"/>
            <w:hideMark/>
          </w:tcPr>
          <w:p w14:paraId="04862020" w14:textId="77777777" w:rsidR="00CA50A2" w:rsidRPr="009A7CD7" w:rsidRDefault="00CA50A2">
            <w:pPr>
              <w:jc w:val="center"/>
              <w:rPr>
                <w:color w:val="000000"/>
                <w:sz w:val="22"/>
                <w:szCs w:val="22"/>
              </w:rPr>
            </w:pPr>
            <w:r w:rsidRPr="009A7CD7">
              <w:rPr>
                <w:color w:val="000000"/>
                <w:sz w:val="22"/>
                <w:szCs w:val="22"/>
              </w:rPr>
              <w:t>0,5548</w:t>
            </w:r>
          </w:p>
        </w:tc>
        <w:tc>
          <w:tcPr>
            <w:tcW w:w="2835" w:type="dxa"/>
            <w:tcBorders>
              <w:top w:val="nil"/>
              <w:left w:val="nil"/>
              <w:bottom w:val="single" w:sz="4" w:space="0" w:color="auto"/>
              <w:right w:val="single" w:sz="2" w:space="0" w:color="auto"/>
            </w:tcBorders>
            <w:noWrap/>
            <w:vAlign w:val="center"/>
            <w:hideMark/>
          </w:tcPr>
          <w:p w14:paraId="288B1D3B" w14:textId="77777777" w:rsidR="00CA50A2" w:rsidRPr="009A7CD7" w:rsidRDefault="00CA50A2" w:rsidP="006E1DA8">
            <w:pPr>
              <w:jc w:val="center"/>
              <w:rPr>
                <w:color w:val="000000"/>
                <w:sz w:val="22"/>
                <w:szCs w:val="22"/>
              </w:rPr>
            </w:pPr>
            <w:r w:rsidRPr="009A7CD7">
              <w:rPr>
                <w:color w:val="000000"/>
                <w:sz w:val="22"/>
                <w:szCs w:val="22"/>
              </w:rPr>
              <w:t>256.018,00</w:t>
            </w:r>
          </w:p>
        </w:tc>
      </w:tr>
      <w:tr w:rsidR="00CA50A2" w:rsidRPr="009A7CD7" w14:paraId="06296E01" w14:textId="77777777" w:rsidTr="00354918">
        <w:trPr>
          <w:trHeight w:val="310"/>
          <w:jc w:val="center"/>
        </w:trPr>
        <w:tc>
          <w:tcPr>
            <w:tcW w:w="2117" w:type="dxa"/>
            <w:tcBorders>
              <w:top w:val="nil"/>
              <w:left w:val="single" w:sz="2" w:space="0" w:color="auto"/>
              <w:bottom w:val="single" w:sz="4" w:space="0" w:color="auto"/>
              <w:right w:val="single" w:sz="4" w:space="0" w:color="auto"/>
            </w:tcBorders>
            <w:noWrap/>
            <w:vAlign w:val="bottom"/>
            <w:hideMark/>
          </w:tcPr>
          <w:p w14:paraId="528BD305" w14:textId="77777777" w:rsidR="00CA50A2" w:rsidRPr="009A7CD7" w:rsidRDefault="00CA50A2">
            <w:pPr>
              <w:rPr>
                <w:color w:val="000000"/>
                <w:sz w:val="22"/>
                <w:szCs w:val="22"/>
              </w:rPr>
            </w:pPr>
            <w:r w:rsidRPr="009A7CD7">
              <w:rPr>
                <w:color w:val="000000"/>
                <w:sz w:val="22"/>
                <w:szCs w:val="22"/>
              </w:rPr>
              <w:t>Piemonte</w:t>
            </w:r>
          </w:p>
        </w:tc>
        <w:tc>
          <w:tcPr>
            <w:tcW w:w="2835" w:type="dxa"/>
            <w:tcBorders>
              <w:top w:val="nil"/>
              <w:left w:val="nil"/>
              <w:bottom w:val="single" w:sz="4" w:space="0" w:color="auto"/>
              <w:right w:val="single" w:sz="4" w:space="0" w:color="auto"/>
            </w:tcBorders>
            <w:noWrap/>
            <w:vAlign w:val="center"/>
            <w:hideMark/>
          </w:tcPr>
          <w:p w14:paraId="592B520A" w14:textId="77777777" w:rsidR="00CA50A2" w:rsidRPr="009A7CD7" w:rsidRDefault="00CA50A2">
            <w:pPr>
              <w:jc w:val="center"/>
              <w:rPr>
                <w:color w:val="000000"/>
                <w:sz w:val="22"/>
                <w:szCs w:val="22"/>
              </w:rPr>
            </w:pPr>
            <w:r w:rsidRPr="009A7CD7">
              <w:rPr>
                <w:color w:val="000000"/>
                <w:sz w:val="22"/>
                <w:szCs w:val="22"/>
              </w:rPr>
              <w:t>8,1105</w:t>
            </w:r>
          </w:p>
        </w:tc>
        <w:tc>
          <w:tcPr>
            <w:tcW w:w="2268" w:type="dxa"/>
            <w:tcBorders>
              <w:top w:val="nil"/>
              <w:left w:val="nil"/>
              <w:bottom w:val="single" w:sz="4" w:space="0" w:color="auto"/>
              <w:right w:val="single" w:sz="4" w:space="0" w:color="auto"/>
            </w:tcBorders>
            <w:noWrap/>
            <w:vAlign w:val="center"/>
            <w:hideMark/>
          </w:tcPr>
          <w:p w14:paraId="6DF720B2" w14:textId="77777777" w:rsidR="00CA50A2" w:rsidRPr="009A7CD7" w:rsidRDefault="00CA50A2">
            <w:pPr>
              <w:jc w:val="center"/>
              <w:rPr>
                <w:color w:val="000000"/>
                <w:sz w:val="22"/>
                <w:szCs w:val="22"/>
              </w:rPr>
            </w:pPr>
            <w:r w:rsidRPr="009A7CD7">
              <w:rPr>
                <w:color w:val="000000"/>
                <w:sz w:val="22"/>
                <w:szCs w:val="22"/>
              </w:rPr>
              <w:t>5,3370</w:t>
            </w:r>
          </w:p>
        </w:tc>
        <w:tc>
          <w:tcPr>
            <w:tcW w:w="2835" w:type="dxa"/>
            <w:tcBorders>
              <w:top w:val="nil"/>
              <w:left w:val="nil"/>
              <w:bottom w:val="single" w:sz="4" w:space="0" w:color="auto"/>
              <w:right w:val="single" w:sz="2" w:space="0" w:color="auto"/>
            </w:tcBorders>
            <w:noWrap/>
            <w:vAlign w:val="center"/>
            <w:hideMark/>
          </w:tcPr>
          <w:p w14:paraId="3CAE4F6A" w14:textId="77777777" w:rsidR="00CA50A2" w:rsidRPr="009A7CD7" w:rsidRDefault="00CA50A2" w:rsidP="006E1DA8">
            <w:pPr>
              <w:jc w:val="center"/>
              <w:rPr>
                <w:color w:val="000000"/>
                <w:sz w:val="22"/>
                <w:szCs w:val="22"/>
              </w:rPr>
            </w:pPr>
            <w:r w:rsidRPr="009A7CD7">
              <w:rPr>
                <w:color w:val="000000"/>
                <w:sz w:val="22"/>
                <w:szCs w:val="22"/>
              </w:rPr>
              <w:t>3.407.290,00</w:t>
            </w:r>
          </w:p>
        </w:tc>
      </w:tr>
      <w:tr w:rsidR="00CA50A2" w:rsidRPr="009A7CD7" w14:paraId="1E111BFA" w14:textId="77777777" w:rsidTr="00354918">
        <w:trPr>
          <w:trHeight w:val="310"/>
          <w:jc w:val="center"/>
        </w:trPr>
        <w:tc>
          <w:tcPr>
            <w:tcW w:w="2117" w:type="dxa"/>
            <w:tcBorders>
              <w:top w:val="nil"/>
              <w:left w:val="single" w:sz="2" w:space="0" w:color="auto"/>
              <w:bottom w:val="single" w:sz="4" w:space="0" w:color="auto"/>
              <w:right w:val="single" w:sz="4" w:space="0" w:color="auto"/>
            </w:tcBorders>
            <w:noWrap/>
            <w:vAlign w:val="bottom"/>
            <w:hideMark/>
          </w:tcPr>
          <w:p w14:paraId="7E6DBD54" w14:textId="77777777" w:rsidR="00CA50A2" w:rsidRPr="009A7CD7" w:rsidRDefault="00CA50A2">
            <w:pPr>
              <w:rPr>
                <w:color w:val="000000"/>
                <w:sz w:val="22"/>
                <w:szCs w:val="22"/>
              </w:rPr>
            </w:pPr>
            <w:r w:rsidRPr="009A7CD7">
              <w:rPr>
                <w:color w:val="000000"/>
                <w:sz w:val="22"/>
                <w:szCs w:val="22"/>
              </w:rPr>
              <w:t>Puglia</w:t>
            </w:r>
          </w:p>
        </w:tc>
        <w:tc>
          <w:tcPr>
            <w:tcW w:w="2835" w:type="dxa"/>
            <w:tcBorders>
              <w:top w:val="nil"/>
              <w:left w:val="nil"/>
              <w:bottom w:val="single" w:sz="4" w:space="0" w:color="auto"/>
              <w:right w:val="single" w:sz="4" w:space="0" w:color="auto"/>
            </w:tcBorders>
            <w:noWrap/>
            <w:vAlign w:val="center"/>
            <w:hideMark/>
          </w:tcPr>
          <w:p w14:paraId="53053CB8" w14:textId="77777777" w:rsidR="00CA50A2" w:rsidRPr="009A7CD7" w:rsidRDefault="00CA50A2">
            <w:pPr>
              <w:jc w:val="center"/>
              <w:rPr>
                <w:color w:val="000000"/>
                <w:sz w:val="22"/>
                <w:szCs w:val="22"/>
              </w:rPr>
            </w:pPr>
            <w:r w:rsidRPr="009A7CD7">
              <w:rPr>
                <w:color w:val="000000"/>
                <w:sz w:val="22"/>
                <w:szCs w:val="22"/>
              </w:rPr>
              <w:t>6,6434</w:t>
            </w:r>
          </w:p>
        </w:tc>
        <w:tc>
          <w:tcPr>
            <w:tcW w:w="2268" w:type="dxa"/>
            <w:tcBorders>
              <w:top w:val="nil"/>
              <w:left w:val="nil"/>
              <w:bottom w:val="single" w:sz="4" w:space="0" w:color="auto"/>
              <w:right w:val="single" w:sz="4" w:space="0" w:color="auto"/>
            </w:tcBorders>
            <w:noWrap/>
            <w:vAlign w:val="center"/>
            <w:hideMark/>
          </w:tcPr>
          <w:p w14:paraId="0AF74CC4" w14:textId="77777777" w:rsidR="00CA50A2" w:rsidRPr="009A7CD7" w:rsidRDefault="00CA50A2">
            <w:pPr>
              <w:jc w:val="center"/>
              <w:rPr>
                <w:color w:val="000000"/>
                <w:sz w:val="22"/>
                <w:szCs w:val="22"/>
              </w:rPr>
            </w:pPr>
            <w:r w:rsidRPr="009A7CD7">
              <w:rPr>
                <w:color w:val="000000"/>
                <w:sz w:val="22"/>
                <w:szCs w:val="22"/>
              </w:rPr>
              <w:t>9,9650</w:t>
            </w:r>
          </w:p>
        </w:tc>
        <w:tc>
          <w:tcPr>
            <w:tcW w:w="2835" w:type="dxa"/>
            <w:tcBorders>
              <w:top w:val="nil"/>
              <w:left w:val="nil"/>
              <w:bottom w:val="single" w:sz="4" w:space="0" w:color="auto"/>
              <w:right w:val="single" w:sz="2" w:space="0" w:color="auto"/>
            </w:tcBorders>
            <w:noWrap/>
            <w:vAlign w:val="center"/>
            <w:hideMark/>
          </w:tcPr>
          <w:p w14:paraId="4C48C096" w14:textId="77777777" w:rsidR="00CA50A2" w:rsidRPr="009A7CD7" w:rsidRDefault="00CA50A2" w:rsidP="006E1DA8">
            <w:pPr>
              <w:jc w:val="center"/>
              <w:rPr>
                <w:color w:val="000000"/>
                <w:sz w:val="22"/>
                <w:szCs w:val="22"/>
              </w:rPr>
            </w:pPr>
            <w:r w:rsidRPr="009A7CD7">
              <w:rPr>
                <w:color w:val="000000"/>
                <w:sz w:val="22"/>
                <w:szCs w:val="22"/>
              </w:rPr>
              <w:t>3.576.488,00</w:t>
            </w:r>
          </w:p>
        </w:tc>
      </w:tr>
      <w:tr w:rsidR="00CA50A2" w:rsidRPr="009A7CD7" w14:paraId="7D9EDC26" w14:textId="77777777" w:rsidTr="00354918">
        <w:trPr>
          <w:trHeight w:val="310"/>
          <w:jc w:val="center"/>
        </w:trPr>
        <w:tc>
          <w:tcPr>
            <w:tcW w:w="2117" w:type="dxa"/>
            <w:tcBorders>
              <w:top w:val="nil"/>
              <w:left w:val="single" w:sz="2" w:space="0" w:color="auto"/>
              <w:bottom w:val="single" w:sz="4" w:space="0" w:color="auto"/>
              <w:right w:val="single" w:sz="4" w:space="0" w:color="auto"/>
            </w:tcBorders>
            <w:noWrap/>
            <w:vAlign w:val="bottom"/>
            <w:hideMark/>
          </w:tcPr>
          <w:p w14:paraId="116B055D" w14:textId="77777777" w:rsidR="00CA50A2" w:rsidRPr="009A7CD7" w:rsidRDefault="00CA50A2">
            <w:pPr>
              <w:rPr>
                <w:color w:val="000000"/>
                <w:sz w:val="22"/>
                <w:szCs w:val="22"/>
              </w:rPr>
            </w:pPr>
            <w:r w:rsidRPr="009A7CD7">
              <w:rPr>
                <w:color w:val="000000"/>
                <w:sz w:val="22"/>
                <w:szCs w:val="22"/>
              </w:rPr>
              <w:t>Sardegna</w:t>
            </w:r>
          </w:p>
        </w:tc>
        <w:tc>
          <w:tcPr>
            <w:tcW w:w="2835" w:type="dxa"/>
            <w:tcBorders>
              <w:top w:val="nil"/>
              <w:left w:val="nil"/>
              <w:bottom w:val="single" w:sz="4" w:space="0" w:color="auto"/>
              <w:right w:val="single" w:sz="4" w:space="0" w:color="auto"/>
            </w:tcBorders>
            <w:noWrap/>
            <w:vAlign w:val="center"/>
            <w:hideMark/>
          </w:tcPr>
          <w:p w14:paraId="51B97576" w14:textId="77777777" w:rsidR="00CA50A2" w:rsidRPr="009A7CD7" w:rsidRDefault="00CA50A2">
            <w:pPr>
              <w:jc w:val="center"/>
              <w:rPr>
                <w:color w:val="000000"/>
                <w:sz w:val="22"/>
                <w:szCs w:val="22"/>
              </w:rPr>
            </w:pPr>
            <w:r w:rsidRPr="009A7CD7">
              <w:rPr>
                <w:color w:val="000000"/>
                <w:sz w:val="22"/>
                <w:szCs w:val="22"/>
              </w:rPr>
              <w:t>2,9578</w:t>
            </w:r>
          </w:p>
        </w:tc>
        <w:tc>
          <w:tcPr>
            <w:tcW w:w="2268" w:type="dxa"/>
            <w:tcBorders>
              <w:top w:val="nil"/>
              <w:left w:val="nil"/>
              <w:bottom w:val="single" w:sz="4" w:space="0" w:color="auto"/>
              <w:right w:val="single" w:sz="4" w:space="0" w:color="auto"/>
            </w:tcBorders>
            <w:noWrap/>
            <w:vAlign w:val="center"/>
            <w:hideMark/>
          </w:tcPr>
          <w:p w14:paraId="52DBFDF1" w14:textId="77777777" w:rsidR="00CA50A2" w:rsidRPr="009A7CD7" w:rsidRDefault="00CA50A2">
            <w:pPr>
              <w:jc w:val="center"/>
              <w:rPr>
                <w:color w:val="000000"/>
                <w:sz w:val="22"/>
                <w:szCs w:val="22"/>
              </w:rPr>
            </w:pPr>
            <w:r w:rsidRPr="009A7CD7">
              <w:rPr>
                <w:color w:val="000000"/>
                <w:sz w:val="22"/>
                <w:szCs w:val="22"/>
              </w:rPr>
              <w:t>3,5740</w:t>
            </w:r>
          </w:p>
        </w:tc>
        <w:tc>
          <w:tcPr>
            <w:tcW w:w="2835" w:type="dxa"/>
            <w:tcBorders>
              <w:top w:val="nil"/>
              <w:left w:val="nil"/>
              <w:bottom w:val="single" w:sz="4" w:space="0" w:color="auto"/>
              <w:right w:val="single" w:sz="2" w:space="0" w:color="auto"/>
            </w:tcBorders>
            <w:noWrap/>
            <w:vAlign w:val="center"/>
            <w:hideMark/>
          </w:tcPr>
          <w:p w14:paraId="5CA9EABA" w14:textId="77777777" w:rsidR="00CA50A2" w:rsidRPr="009A7CD7" w:rsidRDefault="00CA50A2" w:rsidP="006E1DA8">
            <w:pPr>
              <w:jc w:val="center"/>
              <w:rPr>
                <w:color w:val="000000"/>
                <w:sz w:val="22"/>
                <w:szCs w:val="22"/>
              </w:rPr>
            </w:pPr>
            <w:r w:rsidRPr="009A7CD7">
              <w:rPr>
                <w:color w:val="000000"/>
                <w:sz w:val="22"/>
                <w:szCs w:val="22"/>
              </w:rPr>
              <w:t>1.471.186,00</w:t>
            </w:r>
          </w:p>
        </w:tc>
      </w:tr>
      <w:tr w:rsidR="00CA50A2" w:rsidRPr="009A7CD7" w14:paraId="5F2B1787" w14:textId="77777777" w:rsidTr="00354918">
        <w:trPr>
          <w:trHeight w:val="310"/>
          <w:jc w:val="center"/>
        </w:trPr>
        <w:tc>
          <w:tcPr>
            <w:tcW w:w="2117" w:type="dxa"/>
            <w:tcBorders>
              <w:top w:val="nil"/>
              <w:left w:val="single" w:sz="2" w:space="0" w:color="auto"/>
              <w:bottom w:val="single" w:sz="4" w:space="0" w:color="auto"/>
              <w:right w:val="single" w:sz="4" w:space="0" w:color="auto"/>
            </w:tcBorders>
            <w:noWrap/>
            <w:vAlign w:val="bottom"/>
            <w:hideMark/>
          </w:tcPr>
          <w:p w14:paraId="5270A44D" w14:textId="77777777" w:rsidR="00CA50A2" w:rsidRPr="009A7CD7" w:rsidRDefault="00CA50A2">
            <w:pPr>
              <w:rPr>
                <w:color w:val="000000"/>
                <w:sz w:val="22"/>
                <w:szCs w:val="22"/>
              </w:rPr>
            </w:pPr>
            <w:r w:rsidRPr="009A7CD7">
              <w:rPr>
                <w:color w:val="000000"/>
                <w:sz w:val="22"/>
                <w:szCs w:val="22"/>
              </w:rPr>
              <w:t>Sicilia</w:t>
            </w:r>
          </w:p>
        </w:tc>
        <w:tc>
          <w:tcPr>
            <w:tcW w:w="2835" w:type="dxa"/>
            <w:tcBorders>
              <w:top w:val="nil"/>
              <w:left w:val="nil"/>
              <w:bottom w:val="single" w:sz="4" w:space="0" w:color="auto"/>
              <w:right w:val="single" w:sz="4" w:space="0" w:color="auto"/>
            </w:tcBorders>
            <w:noWrap/>
            <w:vAlign w:val="center"/>
            <w:hideMark/>
          </w:tcPr>
          <w:p w14:paraId="465BF99C" w14:textId="77777777" w:rsidR="00CA50A2" w:rsidRPr="009A7CD7" w:rsidRDefault="00CA50A2">
            <w:pPr>
              <w:jc w:val="center"/>
              <w:rPr>
                <w:color w:val="000000"/>
                <w:sz w:val="22"/>
                <w:szCs w:val="22"/>
              </w:rPr>
            </w:pPr>
            <w:r w:rsidRPr="009A7CD7">
              <w:rPr>
                <w:color w:val="000000"/>
                <w:sz w:val="22"/>
                <w:szCs w:val="22"/>
              </w:rPr>
              <w:t>7,7353</w:t>
            </w:r>
          </w:p>
        </w:tc>
        <w:tc>
          <w:tcPr>
            <w:tcW w:w="2268" w:type="dxa"/>
            <w:tcBorders>
              <w:top w:val="nil"/>
              <w:left w:val="nil"/>
              <w:bottom w:val="single" w:sz="4" w:space="0" w:color="auto"/>
              <w:right w:val="single" w:sz="4" w:space="0" w:color="auto"/>
            </w:tcBorders>
            <w:noWrap/>
            <w:vAlign w:val="center"/>
            <w:hideMark/>
          </w:tcPr>
          <w:p w14:paraId="5183B521" w14:textId="77777777" w:rsidR="00CA50A2" w:rsidRPr="009A7CD7" w:rsidRDefault="00CA50A2">
            <w:pPr>
              <w:jc w:val="center"/>
              <w:rPr>
                <w:color w:val="000000"/>
                <w:sz w:val="22"/>
                <w:szCs w:val="22"/>
              </w:rPr>
            </w:pPr>
            <w:r w:rsidRPr="009A7CD7">
              <w:rPr>
                <w:color w:val="000000"/>
                <w:sz w:val="22"/>
                <w:szCs w:val="22"/>
              </w:rPr>
              <w:t>8,2433</w:t>
            </w:r>
          </w:p>
        </w:tc>
        <w:tc>
          <w:tcPr>
            <w:tcW w:w="2835" w:type="dxa"/>
            <w:tcBorders>
              <w:top w:val="nil"/>
              <w:left w:val="nil"/>
              <w:bottom w:val="single" w:sz="4" w:space="0" w:color="auto"/>
              <w:right w:val="single" w:sz="2" w:space="0" w:color="auto"/>
            </w:tcBorders>
            <w:noWrap/>
            <w:vAlign w:val="center"/>
            <w:hideMark/>
          </w:tcPr>
          <w:p w14:paraId="44C89C90" w14:textId="77777777" w:rsidR="00CA50A2" w:rsidRPr="009A7CD7" w:rsidRDefault="00CA50A2" w:rsidP="006E1DA8">
            <w:pPr>
              <w:jc w:val="center"/>
              <w:rPr>
                <w:color w:val="000000"/>
                <w:sz w:val="22"/>
                <w:szCs w:val="22"/>
              </w:rPr>
            </w:pPr>
            <w:r w:rsidRPr="009A7CD7">
              <w:rPr>
                <w:color w:val="000000"/>
                <w:sz w:val="22"/>
                <w:szCs w:val="22"/>
              </w:rPr>
              <w:t>3.692.501,00</w:t>
            </w:r>
          </w:p>
        </w:tc>
      </w:tr>
      <w:tr w:rsidR="00CA50A2" w:rsidRPr="009A7CD7" w14:paraId="66FEA962" w14:textId="77777777" w:rsidTr="00354918">
        <w:trPr>
          <w:trHeight w:val="310"/>
          <w:jc w:val="center"/>
        </w:trPr>
        <w:tc>
          <w:tcPr>
            <w:tcW w:w="2117" w:type="dxa"/>
            <w:tcBorders>
              <w:top w:val="nil"/>
              <w:left w:val="single" w:sz="2" w:space="0" w:color="auto"/>
              <w:bottom w:val="single" w:sz="4" w:space="0" w:color="auto"/>
              <w:right w:val="single" w:sz="4" w:space="0" w:color="auto"/>
            </w:tcBorders>
            <w:noWrap/>
            <w:vAlign w:val="bottom"/>
            <w:hideMark/>
          </w:tcPr>
          <w:p w14:paraId="1332805F" w14:textId="77777777" w:rsidR="00CA50A2" w:rsidRPr="009A7CD7" w:rsidRDefault="00CA50A2">
            <w:pPr>
              <w:rPr>
                <w:color w:val="000000"/>
                <w:sz w:val="22"/>
                <w:szCs w:val="22"/>
              </w:rPr>
            </w:pPr>
            <w:r w:rsidRPr="009A7CD7">
              <w:rPr>
                <w:color w:val="000000"/>
                <w:sz w:val="22"/>
                <w:szCs w:val="22"/>
              </w:rPr>
              <w:t>Toscana</w:t>
            </w:r>
          </w:p>
        </w:tc>
        <w:tc>
          <w:tcPr>
            <w:tcW w:w="2835" w:type="dxa"/>
            <w:tcBorders>
              <w:top w:val="nil"/>
              <w:left w:val="nil"/>
              <w:bottom w:val="single" w:sz="4" w:space="0" w:color="auto"/>
              <w:right w:val="single" w:sz="4" w:space="0" w:color="auto"/>
            </w:tcBorders>
            <w:noWrap/>
            <w:vAlign w:val="center"/>
            <w:hideMark/>
          </w:tcPr>
          <w:p w14:paraId="13736653" w14:textId="77777777" w:rsidR="00CA50A2" w:rsidRPr="009A7CD7" w:rsidRDefault="00CA50A2">
            <w:pPr>
              <w:jc w:val="center"/>
              <w:rPr>
                <w:color w:val="000000"/>
                <w:sz w:val="22"/>
                <w:szCs w:val="22"/>
              </w:rPr>
            </w:pPr>
            <w:r w:rsidRPr="009A7CD7">
              <w:rPr>
                <w:color w:val="000000"/>
                <w:sz w:val="22"/>
                <w:szCs w:val="22"/>
              </w:rPr>
              <w:t>6,9709</w:t>
            </w:r>
          </w:p>
        </w:tc>
        <w:tc>
          <w:tcPr>
            <w:tcW w:w="2268" w:type="dxa"/>
            <w:tcBorders>
              <w:top w:val="nil"/>
              <w:left w:val="nil"/>
              <w:bottom w:val="single" w:sz="4" w:space="0" w:color="auto"/>
              <w:right w:val="single" w:sz="4" w:space="0" w:color="auto"/>
            </w:tcBorders>
            <w:noWrap/>
            <w:vAlign w:val="center"/>
            <w:hideMark/>
          </w:tcPr>
          <w:p w14:paraId="4D293F44" w14:textId="77777777" w:rsidR="00CA50A2" w:rsidRPr="009A7CD7" w:rsidRDefault="00CA50A2">
            <w:pPr>
              <w:jc w:val="center"/>
              <w:rPr>
                <w:color w:val="000000"/>
                <w:sz w:val="22"/>
                <w:szCs w:val="22"/>
              </w:rPr>
            </w:pPr>
            <w:r w:rsidRPr="009A7CD7">
              <w:rPr>
                <w:color w:val="000000"/>
                <w:sz w:val="22"/>
                <w:szCs w:val="22"/>
              </w:rPr>
              <w:t>5,1676</w:t>
            </w:r>
          </w:p>
        </w:tc>
        <w:tc>
          <w:tcPr>
            <w:tcW w:w="2835" w:type="dxa"/>
            <w:tcBorders>
              <w:top w:val="nil"/>
              <w:left w:val="nil"/>
              <w:bottom w:val="single" w:sz="4" w:space="0" w:color="auto"/>
              <w:right w:val="single" w:sz="2" w:space="0" w:color="auto"/>
            </w:tcBorders>
            <w:noWrap/>
            <w:vAlign w:val="center"/>
            <w:hideMark/>
          </w:tcPr>
          <w:p w14:paraId="426CE79F" w14:textId="77777777" w:rsidR="00CA50A2" w:rsidRPr="009A7CD7" w:rsidRDefault="00CA50A2" w:rsidP="006E1DA8">
            <w:pPr>
              <w:jc w:val="center"/>
              <w:rPr>
                <w:color w:val="000000"/>
                <w:sz w:val="22"/>
                <w:szCs w:val="22"/>
              </w:rPr>
            </w:pPr>
            <w:r w:rsidRPr="009A7CD7">
              <w:rPr>
                <w:color w:val="000000"/>
                <w:sz w:val="22"/>
                <w:szCs w:val="22"/>
              </w:rPr>
              <w:t>3.010.060,00</w:t>
            </w:r>
          </w:p>
        </w:tc>
      </w:tr>
      <w:tr w:rsidR="00CA50A2" w:rsidRPr="009A7CD7" w14:paraId="5B46DE9E" w14:textId="77777777" w:rsidTr="00354918">
        <w:trPr>
          <w:trHeight w:val="310"/>
          <w:jc w:val="center"/>
        </w:trPr>
        <w:tc>
          <w:tcPr>
            <w:tcW w:w="2117" w:type="dxa"/>
            <w:tcBorders>
              <w:top w:val="nil"/>
              <w:left w:val="single" w:sz="2" w:space="0" w:color="auto"/>
              <w:bottom w:val="single" w:sz="4" w:space="0" w:color="auto"/>
              <w:right w:val="single" w:sz="4" w:space="0" w:color="auto"/>
            </w:tcBorders>
            <w:noWrap/>
            <w:vAlign w:val="bottom"/>
            <w:hideMark/>
          </w:tcPr>
          <w:p w14:paraId="52B500A6" w14:textId="77777777" w:rsidR="00CA50A2" w:rsidRPr="009A7CD7" w:rsidRDefault="00CA50A2">
            <w:pPr>
              <w:rPr>
                <w:color w:val="000000"/>
                <w:sz w:val="22"/>
                <w:szCs w:val="22"/>
              </w:rPr>
            </w:pPr>
            <w:r w:rsidRPr="009A7CD7">
              <w:rPr>
                <w:color w:val="000000"/>
                <w:sz w:val="22"/>
                <w:szCs w:val="22"/>
              </w:rPr>
              <w:t>Umbria</w:t>
            </w:r>
          </w:p>
        </w:tc>
        <w:tc>
          <w:tcPr>
            <w:tcW w:w="2835" w:type="dxa"/>
            <w:tcBorders>
              <w:top w:val="nil"/>
              <w:left w:val="nil"/>
              <w:bottom w:val="single" w:sz="4" w:space="0" w:color="auto"/>
              <w:right w:val="single" w:sz="4" w:space="0" w:color="auto"/>
            </w:tcBorders>
            <w:noWrap/>
            <w:vAlign w:val="center"/>
            <w:hideMark/>
          </w:tcPr>
          <w:p w14:paraId="04E6B74D" w14:textId="77777777" w:rsidR="00CA50A2" w:rsidRPr="009A7CD7" w:rsidRDefault="00CA50A2">
            <w:pPr>
              <w:jc w:val="center"/>
              <w:rPr>
                <w:color w:val="000000"/>
                <w:sz w:val="22"/>
                <w:szCs w:val="22"/>
              </w:rPr>
            </w:pPr>
            <w:r w:rsidRPr="009A7CD7">
              <w:rPr>
                <w:color w:val="000000"/>
                <w:sz w:val="22"/>
                <w:szCs w:val="22"/>
              </w:rPr>
              <w:t>1,6616</w:t>
            </w:r>
          </w:p>
        </w:tc>
        <w:tc>
          <w:tcPr>
            <w:tcW w:w="2268" w:type="dxa"/>
            <w:tcBorders>
              <w:top w:val="nil"/>
              <w:left w:val="nil"/>
              <w:bottom w:val="single" w:sz="4" w:space="0" w:color="auto"/>
              <w:right w:val="single" w:sz="4" w:space="0" w:color="auto"/>
            </w:tcBorders>
            <w:noWrap/>
            <w:vAlign w:val="center"/>
            <w:hideMark/>
          </w:tcPr>
          <w:p w14:paraId="2212B408" w14:textId="77777777" w:rsidR="00CA50A2" w:rsidRPr="009A7CD7" w:rsidRDefault="00CA50A2">
            <w:pPr>
              <w:jc w:val="center"/>
              <w:rPr>
                <w:color w:val="000000"/>
                <w:sz w:val="22"/>
                <w:szCs w:val="22"/>
              </w:rPr>
            </w:pPr>
            <w:r w:rsidRPr="009A7CD7">
              <w:rPr>
                <w:color w:val="000000"/>
                <w:sz w:val="22"/>
                <w:szCs w:val="22"/>
              </w:rPr>
              <w:t>2,4781</w:t>
            </w:r>
          </w:p>
        </w:tc>
        <w:tc>
          <w:tcPr>
            <w:tcW w:w="2835" w:type="dxa"/>
            <w:tcBorders>
              <w:top w:val="nil"/>
              <w:left w:val="nil"/>
              <w:bottom w:val="single" w:sz="4" w:space="0" w:color="auto"/>
              <w:right w:val="single" w:sz="2" w:space="0" w:color="auto"/>
            </w:tcBorders>
            <w:noWrap/>
            <w:vAlign w:val="center"/>
            <w:hideMark/>
          </w:tcPr>
          <w:p w14:paraId="42914D14" w14:textId="77777777" w:rsidR="00CA50A2" w:rsidRPr="009A7CD7" w:rsidRDefault="00CA50A2" w:rsidP="006E1DA8">
            <w:pPr>
              <w:jc w:val="center"/>
              <w:rPr>
                <w:color w:val="000000"/>
                <w:sz w:val="22"/>
                <w:szCs w:val="22"/>
              </w:rPr>
            </w:pPr>
            <w:r w:rsidRPr="009A7CD7">
              <w:rPr>
                <w:color w:val="000000"/>
                <w:sz w:val="22"/>
                <w:szCs w:val="22"/>
              </w:rPr>
              <w:t>892.521,00</w:t>
            </w:r>
          </w:p>
        </w:tc>
      </w:tr>
      <w:tr w:rsidR="00CA50A2" w:rsidRPr="009A7CD7" w14:paraId="4448085F" w14:textId="77777777" w:rsidTr="00354918">
        <w:trPr>
          <w:trHeight w:val="310"/>
          <w:jc w:val="center"/>
        </w:trPr>
        <w:tc>
          <w:tcPr>
            <w:tcW w:w="2117" w:type="dxa"/>
            <w:tcBorders>
              <w:top w:val="nil"/>
              <w:left w:val="single" w:sz="2" w:space="0" w:color="auto"/>
              <w:bottom w:val="single" w:sz="4" w:space="0" w:color="auto"/>
              <w:right w:val="single" w:sz="4" w:space="0" w:color="auto"/>
            </w:tcBorders>
            <w:noWrap/>
            <w:vAlign w:val="bottom"/>
            <w:hideMark/>
          </w:tcPr>
          <w:p w14:paraId="48D731E2" w14:textId="0CDAA604" w:rsidR="00CA50A2" w:rsidRPr="009A7CD7" w:rsidRDefault="00CA50A2">
            <w:pPr>
              <w:rPr>
                <w:color w:val="000000"/>
                <w:sz w:val="22"/>
                <w:szCs w:val="22"/>
              </w:rPr>
            </w:pPr>
            <w:r w:rsidRPr="009A7CD7">
              <w:rPr>
                <w:color w:val="000000"/>
                <w:sz w:val="22"/>
                <w:szCs w:val="22"/>
              </w:rPr>
              <w:t>Valle d'Aosta</w:t>
            </w:r>
          </w:p>
        </w:tc>
        <w:tc>
          <w:tcPr>
            <w:tcW w:w="2835" w:type="dxa"/>
            <w:tcBorders>
              <w:top w:val="nil"/>
              <w:left w:val="nil"/>
              <w:bottom w:val="single" w:sz="4" w:space="0" w:color="auto"/>
              <w:right w:val="single" w:sz="4" w:space="0" w:color="auto"/>
            </w:tcBorders>
            <w:noWrap/>
            <w:vAlign w:val="center"/>
            <w:hideMark/>
          </w:tcPr>
          <w:p w14:paraId="02A186D1" w14:textId="77777777" w:rsidR="00CA50A2" w:rsidRPr="009A7CD7" w:rsidRDefault="00CA50A2">
            <w:pPr>
              <w:jc w:val="center"/>
              <w:rPr>
                <w:color w:val="000000"/>
                <w:sz w:val="22"/>
                <w:szCs w:val="22"/>
              </w:rPr>
            </w:pPr>
            <w:r w:rsidRPr="009A7CD7">
              <w:rPr>
                <w:color w:val="000000"/>
                <w:sz w:val="22"/>
                <w:szCs w:val="22"/>
              </w:rPr>
              <w:t>0,2215</w:t>
            </w:r>
          </w:p>
        </w:tc>
        <w:tc>
          <w:tcPr>
            <w:tcW w:w="2268" w:type="dxa"/>
            <w:tcBorders>
              <w:top w:val="nil"/>
              <w:left w:val="nil"/>
              <w:bottom w:val="single" w:sz="4" w:space="0" w:color="auto"/>
              <w:right w:val="single" w:sz="4" w:space="0" w:color="auto"/>
            </w:tcBorders>
            <w:noWrap/>
            <w:vAlign w:val="center"/>
            <w:hideMark/>
          </w:tcPr>
          <w:p w14:paraId="09BDBFFE" w14:textId="77777777" w:rsidR="00CA50A2" w:rsidRPr="009A7CD7" w:rsidRDefault="00CA50A2">
            <w:pPr>
              <w:jc w:val="center"/>
              <w:rPr>
                <w:color w:val="000000"/>
                <w:sz w:val="22"/>
                <w:szCs w:val="22"/>
              </w:rPr>
            </w:pPr>
            <w:r w:rsidRPr="009A7CD7">
              <w:rPr>
                <w:color w:val="000000"/>
                <w:sz w:val="22"/>
                <w:szCs w:val="22"/>
              </w:rPr>
              <w:t>0,1521</w:t>
            </w:r>
          </w:p>
        </w:tc>
        <w:tc>
          <w:tcPr>
            <w:tcW w:w="2835" w:type="dxa"/>
            <w:tcBorders>
              <w:top w:val="nil"/>
              <w:left w:val="nil"/>
              <w:bottom w:val="single" w:sz="4" w:space="0" w:color="auto"/>
              <w:right w:val="single" w:sz="2" w:space="0" w:color="auto"/>
            </w:tcBorders>
            <w:noWrap/>
            <w:vAlign w:val="center"/>
            <w:hideMark/>
          </w:tcPr>
          <w:p w14:paraId="4F7B325D" w14:textId="77777777" w:rsidR="00CA50A2" w:rsidRPr="009A7CD7" w:rsidRDefault="00CA50A2" w:rsidP="006E1DA8">
            <w:pPr>
              <w:jc w:val="center"/>
              <w:rPr>
                <w:color w:val="000000"/>
                <w:sz w:val="22"/>
                <w:szCs w:val="22"/>
              </w:rPr>
            </w:pPr>
            <w:r w:rsidRPr="009A7CD7">
              <w:rPr>
                <w:color w:val="000000"/>
                <w:sz w:val="22"/>
                <w:szCs w:val="22"/>
              </w:rPr>
              <w:t>93.945,00</w:t>
            </w:r>
          </w:p>
        </w:tc>
      </w:tr>
      <w:tr w:rsidR="00CA50A2" w:rsidRPr="009A7CD7" w14:paraId="2CBF4C17" w14:textId="77777777" w:rsidTr="00354918">
        <w:trPr>
          <w:trHeight w:val="320"/>
          <w:jc w:val="center"/>
        </w:trPr>
        <w:tc>
          <w:tcPr>
            <w:tcW w:w="2117" w:type="dxa"/>
            <w:tcBorders>
              <w:top w:val="single" w:sz="4" w:space="0" w:color="auto"/>
              <w:left w:val="single" w:sz="2" w:space="0" w:color="auto"/>
              <w:bottom w:val="single" w:sz="2" w:space="0" w:color="auto"/>
              <w:right w:val="single" w:sz="2" w:space="0" w:color="auto"/>
            </w:tcBorders>
            <w:noWrap/>
            <w:vAlign w:val="bottom"/>
            <w:hideMark/>
          </w:tcPr>
          <w:p w14:paraId="1A75F2F7" w14:textId="77777777" w:rsidR="00CA50A2" w:rsidRPr="009A7CD7" w:rsidRDefault="00CA50A2">
            <w:pPr>
              <w:rPr>
                <w:color w:val="000000"/>
                <w:sz w:val="22"/>
                <w:szCs w:val="22"/>
              </w:rPr>
            </w:pPr>
            <w:r w:rsidRPr="009A7CD7">
              <w:rPr>
                <w:color w:val="000000"/>
                <w:sz w:val="22"/>
                <w:szCs w:val="22"/>
              </w:rPr>
              <w:t>Veneto</w:t>
            </w:r>
          </w:p>
        </w:tc>
        <w:tc>
          <w:tcPr>
            <w:tcW w:w="2835" w:type="dxa"/>
            <w:tcBorders>
              <w:top w:val="single" w:sz="4" w:space="0" w:color="auto"/>
              <w:left w:val="single" w:sz="2" w:space="0" w:color="auto"/>
              <w:bottom w:val="single" w:sz="2" w:space="0" w:color="auto"/>
              <w:right w:val="single" w:sz="2" w:space="0" w:color="auto"/>
            </w:tcBorders>
            <w:noWrap/>
            <w:vAlign w:val="center"/>
            <w:hideMark/>
          </w:tcPr>
          <w:p w14:paraId="39F6A806" w14:textId="77777777" w:rsidR="00CA50A2" w:rsidRPr="009A7CD7" w:rsidRDefault="00CA50A2">
            <w:pPr>
              <w:jc w:val="center"/>
              <w:rPr>
                <w:color w:val="000000"/>
                <w:sz w:val="22"/>
                <w:szCs w:val="22"/>
              </w:rPr>
            </w:pPr>
            <w:r w:rsidRPr="009A7CD7">
              <w:rPr>
                <w:color w:val="000000"/>
                <w:sz w:val="22"/>
                <w:szCs w:val="22"/>
              </w:rPr>
              <w:t>8,4472</w:t>
            </w:r>
          </w:p>
        </w:tc>
        <w:tc>
          <w:tcPr>
            <w:tcW w:w="2268" w:type="dxa"/>
            <w:tcBorders>
              <w:top w:val="single" w:sz="4" w:space="0" w:color="auto"/>
              <w:left w:val="single" w:sz="2" w:space="0" w:color="auto"/>
              <w:bottom w:val="single" w:sz="2" w:space="0" w:color="auto"/>
              <w:right w:val="single" w:sz="2" w:space="0" w:color="auto"/>
            </w:tcBorders>
            <w:noWrap/>
            <w:vAlign w:val="center"/>
            <w:hideMark/>
          </w:tcPr>
          <w:p w14:paraId="4698D428" w14:textId="77777777" w:rsidR="00CA50A2" w:rsidRPr="009A7CD7" w:rsidRDefault="00CA50A2">
            <w:pPr>
              <w:jc w:val="center"/>
              <w:rPr>
                <w:color w:val="000000"/>
                <w:sz w:val="22"/>
                <w:szCs w:val="22"/>
              </w:rPr>
            </w:pPr>
            <w:r w:rsidRPr="009A7CD7">
              <w:rPr>
                <w:color w:val="000000"/>
                <w:sz w:val="22"/>
                <w:szCs w:val="22"/>
              </w:rPr>
              <w:t>6,6772</w:t>
            </w:r>
          </w:p>
        </w:tc>
        <w:tc>
          <w:tcPr>
            <w:tcW w:w="2835" w:type="dxa"/>
            <w:tcBorders>
              <w:top w:val="single" w:sz="4" w:space="0" w:color="auto"/>
              <w:left w:val="single" w:sz="2" w:space="0" w:color="auto"/>
              <w:bottom w:val="single" w:sz="2" w:space="0" w:color="auto"/>
              <w:right w:val="single" w:sz="2" w:space="0" w:color="auto"/>
            </w:tcBorders>
            <w:noWrap/>
            <w:vAlign w:val="center"/>
            <w:hideMark/>
          </w:tcPr>
          <w:p w14:paraId="700FE489" w14:textId="77777777" w:rsidR="00CA50A2" w:rsidRPr="009A7CD7" w:rsidRDefault="00CA50A2" w:rsidP="006E1DA8">
            <w:pPr>
              <w:jc w:val="center"/>
              <w:rPr>
                <w:color w:val="000000"/>
                <w:sz w:val="22"/>
                <w:szCs w:val="22"/>
              </w:rPr>
            </w:pPr>
            <w:r w:rsidRPr="009A7CD7">
              <w:rPr>
                <w:color w:val="000000"/>
                <w:sz w:val="22"/>
                <w:szCs w:val="22"/>
              </w:rPr>
              <w:t>3.705.843,00</w:t>
            </w:r>
          </w:p>
        </w:tc>
      </w:tr>
      <w:tr w:rsidR="00CA50A2" w:rsidRPr="009A7CD7" w14:paraId="203E65BB" w14:textId="77777777" w:rsidTr="00354918">
        <w:trPr>
          <w:trHeight w:val="40"/>
          <w:jc w:val="center"/>
        </w:trPr>
        <w:tc>
          <w:tcPr>
            <w:tcW w:w="2117" w:type="dxa"/>
            <w:tcBorders>
              <w:top w:val="single" w:sz="2" w:space="0" w:color="auto"/>
              <w:left w:val="single" w:sz="2" w:space="0" w:color="auto"/>
              <w:bottom w:val="single" w:sz="2" w:space="0" w:color="auto"/>
              <w:right w:val="single" w:sz="2" w:space="0" w:color="auto"/>
            </w:tcBorders>
            <w:noWrap/>
            <w:vAlign w:val="bottom"/>
            <w:hideMark/>
          </w:tcPr>
          <w:p w14:paraId="41D6CC9F" w14:textId="1F4852FC" w:rsidR="00CA50A2" w:rsidRPr="009A7CD7" w:rsidRDefault="00CA50A2" w:rsidP="00826533">
            <w:pPr>
              <w:jc w:val="center"/>
              <w:rPr>
                <w:b/>
                <w:bCs/>
                <w:color w:val="000000"/>
                <w:sz w:val="22"/>
                <w:szCs w:val="22"/>
              </w:rPr>
            </w:pPr>
            <w:r w:rsidRPr="009A7CD7">
              <w:rPr>
                <w:b/>
                <w:bCs/>
                <w:color w:val="000000"/>
                <w:sz w:val="22"/>
                <w:szCs w:val="22"/>
              </w:rPr>
              <w:t>Totale</w:t>
            </w:r>
          </w:p>
        </w:tc>
        <w:tc>
          <w:tcPr>
            <w:tcW w:w="2835" w:type="dxa"/>
            <w:tcBorders>
              <w:top w:val="single" w:sz="2" w:space="0" w:color="auto"/>
              <w:left w:val="single" w:sz="2" w:space="0" w:color="auto"/>
              <w:bottom w:val="single" w:sz="2" w:space="0" w:color="auto"/>
              <w:right w:val="single" w:sz="2" w:space="0" w:color="auto"/>
            </w:tcBorders>
            <w:noWrap/>
            <w:vAlign w:val="center"/>
            <w:hideMark/>
          </w:tcPr>
          <w:p w14:paraId="6874C76D" w14:textId="77777777" w:rsidR="00CA50A2" w:rsidRPr="009A7CD7" w:rsidRDefault="00CA50A2" w:rsidP="00F13A5A">
            <w:pPr>
              <w:jc w:val="center"/>
              <w:rPr>
                <w:b/>
                <w:bCs/>
                <w:color w:val="000000"/>
                <w:sz w:val="22"/>
                <w:szCs w:val="22"/>
              </w:rPr>
            </w:pPr>
            <w:r w:rsidRPr="009A7CD7">
              <w:rPr>
                <w:b/>
                <w:bCs/>
                <w:color w:val="000000"/>
                <w:sz w:val="22"/>
                <w:szCs w:val="22"/>
              </w:rPr>
              <w:t>100,0000</w:t>
            </w:r>
          </w:p>
        </w:tc>
        <w:tc>
          <w:tcPr>
            <w:tcW w:w="2268" w:type="dxa"/>
            <w:tcBorders>
              <w:top w:val="single" w:sz="2" w:space="0" w:color="auto"/>
              <w:left w:val="single" w:sz="2" w:space="0" w:color="auto"/>
              <w:bottom w:val="single" w:sz="2" w:space="0" w:color="auto"/>
              <w:right w:val="single" w:sz="2" w:space="0" w:color="auto"/>
            </w:tcBorders>
            <w:noWrap/>
            <w:vAlign w:val="center"/>
            <w:hideMark/>
          </w:tcPr>
          <w:p w14:paraId="63138E5E" w14:textId="77777777" w:rsidR="00CA50A2" w:rsidRPr="009A7CD7" w:rsidRDefault="00CA50A2" w:rsidP="00F13A5A">
            <w:pPr>
              <w:jc w:val="center"/>
              <w:rPr>
                <w:b/>
                <w:bCs/>
                <w:color w:val="000000"/>
                <w:sz w:val="22"/>
                <w:szCs w:val="22"/>
              </w:rPr>
            </w:pPr>
            <w:r w:rsidRPr="009A7CD7">
              <w:rPr>
                <w:b/>
                <w:bCs/>
                <w:color w:val="000000"/>
                <w:sz w:val="22"/>
                <w:szCs w:val="22"/>
              </w:rPr>
              <w:t>100,0000</w:t>
            </w:r>
          </w:p>
        </w:tc>
        <w:tc>
          <w:tcPr>
            <w:tcW w:w="2835" w:type="dxa"/>
            <w:tcBorders>
              <w:top w:val="single" w:sz="2" w:space="0" w:color="auto"/>
              <w:left w:val="single" w:sz="2" w:space="0" w:color="auto"/>
              <w:bottom w:val="single" w:sz="2" w:space="0" w:color="auto"/>
              <w:right w:val="single" w:sz="2" w:space="0" w:color="auto"/>
            </w:tcBorders>
            <w:noWrap/>
            <w:vAlign w:val="center"/>
            <w:hideMark/>
          </w:tcPr>
          <w:p w14:paraId="004989F6" w14:textId="77777777" w:rsidR="00CA50A2" w:rsidRPr="009A7CD7" w:rsidRDefault="00CA50A2" w:rsidP="00F13A5A">
            <w:pPr>
              <w:jc w:val="center"/>
              <w:rPr>
                <w:b/>
                <w:bCs/>
                <w:color w:val="000000"/>
                <w:sz w:val="22"/>
                <w:szCs w:val="22"/>
              </w:rPr>
            </w:pPr>
            <w:r w:rsidRPr="009A7CD7">
              <w:rPr>
                <w:b/>
                <w:bCs/>
                <w:color w:val="000000"/>
                <w:sz w:val="22"/>
                <w:szCs w:val="22"/>
              </w:rPr>
              <w:t>46.813.407,00</w:t>
            </w:r>
          </w:p>
        </w:tc>
      </w:tr>
    </w:tbl>
    <w:p w14:paraId="18E5DF7C" w14:textId="2FEC3C3A" w:rsidR="00C26501" w:rsidRPr="009A7CD7" w:rsidRDefault="00C26501" w:rsidP="00DE1DE2">
      <w:pPr>
        <w:tabs>
          <w:tab w:val="left" w:pos="680"/>
        </w:tabs>
        <w:ind w:right="106"/>
        <w:jc w:val="both"/>
        <w:rPr>
          <w:rFonts w:eastAsia="Calibri"/>
          <w:b/>
          <w:bCs/>
          <w:sz w:val="20"/>
          <w:szCs w:val="20"/>
          <w:shd w:val="clear" w:color="auto" w:fill="FFFFFF"/>
        </w:rPr>
      </w:pPr>
      <w:r w:rsidRPr="009A7CD7">
        <w:rPr>
          <w:rFonts w:eastAsia="Calibri"/>
          <w:b/>
          <w:bCs/>
          <w:sz w:val="20"/>
          <w:szCs w:val="20"/>
          <w:shd w:val="clear" w:color="auto" w:fill="FFFFFF"/>
        </w:rPr>
        <w:t>* Ulteriori risorse disponibili del Fondo di cui all’articolo 1, comma 235, della legge n. 207/2024</w:t>
      </w:r>
      <w:r w:rsidR="00C04F41" w:rsidRPr="009A7CD7">
        <w:rPr>
          <w:rFonts w:eastAsia="Calibri"/>
          <w:b/>
          <w:bCs/>
          <w:sz w:val="20"/>
          <w:szCs w:val="20"/>
          <w:shd w:val="clear" w:color="auto" w:fill="FFFFFF"/>
        </w:rPr>
        <w:t xml:space="preserve">, </w:t>
      </w:r>
      <w:r w:rsidR="00383A28" w:rsidRPr="009A7CD7">
        <w:rPr>
          <w:rFonts w:eastAsia="Calibri"/>
          <w:b/>
          <w:bCs/>
          <w:sz w:val="20"/>
          <w:szCs w:val="20"/>
          <w:shd w:val="clear" w:color="auto" w:fill="FFFFFF"/>
        </w:rPr>
        <w:t xml:space="preserve">per l’anno 2025, </w:t>
      </w:r>
      <w:r w:rsidR="00C04F41" w:rsidRPr="009A7CD7">
        <w:rPr>
          <w:rFonts w:eastAsia="Calibri"/>
          <w:b/>
          <w:bCs/>
          <w:sz w:val="20"/>
          <w:szCs w:val="20"/>
          <w:shd w:val="clear" w:color="auto" w:fill="FFFFFF"/>
        </w:rPr>
        <w:t>al netto di quelle ripartite in Tabella 2</w:t>
      </w:r>
      <w:r w:rsidR="00383A28" w:rsidRPr="009A7CD7">
        <w:rPr>
          <w:rFonts w:eastAsia="Calibri"/>
          <w:b/>
          <w:bCs/>
          <w:sz w:val="20"/>
          <w:szCs w:val="20"/>
          <w:shd w:val="clear" w:color="auto" w:fill="FFFFFF"/>
        </w:rPr>
        <w:t>.</w:t>
      </w:r>
      <w:r w:rsidR="00C04F41" w:rsidRPr="009A7CD7">
        <w:rPr>
          <w:rFonts w:eastAsia="Calibri"/>
          <w:b/>
          <w:bCs/>
          <w:sz w:val="20"/>
          <w:szCs w:val="20"/>
          <w:shd w:val="clear" w:color="auto" w:fill="FFFFFF"/>
        </w:rPr>
        <w:t xml:space="preserve"> </w:t>
      </w:r>
    </w:p>
    <w:p w14:paraId="0EA9A291" w14:textId="1D781DBE" w:rsidR="0098174A" w:rsidRPr="009A7CD7" w:rsidRDefault="00C26501" w:rsidP="00DE1DE2">
      <w:pPr>
        <w:tabs>
          <w:tab w:val="left" w:pos="680"/>
        </w:tabs>
        <w:ind w:right="106"/>
        <w:jc w:val="both"/>
        <w:rPr>
          <w:rFonts w:eastAsia="Calibri"/>
          <w:b/>
          <w:bCs/>
          <w:sz w:val="20"/>
          <w:szCs w:val="20"/>
          <w:shd w:val="clear" w:color="auto" w:fill="FFFFFF"/>
        </w:rPr>
      </w:pPr>
      <w:r w:rsidRPr="009A7CD7">
        <w:rPr>
          <w:rFonts w:eastAsia="Calibri"/>
          <w:b/>
          <w:bCs/>
          <w:sz w:val="20"/>
          <w:szCs w:val="20"/>
          <w:shd w:val="clear" w:color="auto" w:fill="FFFFFF"/>
        </w:rPr>
        <w:lastRenderedPageBreak/>
        <w:t>**</w:t>
      </w:r>
      <w:r w:rsidR="00383A28" w:rsidRPr="009A7CD7">
        <w:rPr>
          <w:rFonts w:eastAsia="Calibri"/>
          <w:b/>
          <w:bCs/>
          <w:sz w:val="20"/>
          <w:szCs w:val="20"/>
          <w:shd w:val="clear" w:color="auto" w:fill="FFFFFF"/>
        </w:rPr>
        <w:t xml:space="preserve"> Ripartite per il </w:t>
      </w:r>
      <w:r w:rsidRPr="009A7CD7">
        <w:rPr>
          <w:rFonts w:eastAsia="Calibri"/>
          <w:b/>
          <w:bCs/>
          <w:sz w:val="20"/>
          <w:szCs w:val="20"/>
          <w:shd w:val="clear" w:color="auto" w:fill="FFFFFF"/>
        </w:rPr>
        <w:t xml:space="preserve">70% </w:t>
      </w:r>
      <w:r w:rsidR="00383A28" w:rsidRPr="009A7CD7">
        <w:rPr>
          <w:rFonts w:eastAsia="Calibri"/>
          <w:b/>
          <w:bCs/>
          <w:sz w:val="20"/>
          <w:szCs w:val="20"/>
          <w:shd w:val="clear" w:color="auto" w:fill="FFFFFF"/>
        </w:rPr>
        <w:t xml:space="preserve">in base alla </w:t>
      </w:r>
      <w:r w:rsidRPr="009A7CD7">
        <w:rPr>
          <w:rFonts w:eastAsia="Calibri"/>
          <w:b/>
          <w:bCs/>
          <w:sz w:val="20"/>
          <w:szCs w:val="20"/>
          <w:shd w:val="clear" w:color="auto" w:fill="FFFFFF"/>
        </w:rPr>
        <w:t>popolazione over 70 (fonte ISTAT)</w:t>
      </w:r>
      <w:r w:rsidR="00383A28" w:rsidRPr="009A7CD7">
        <w:rPr>
          <w:rFonts w:eastAsia="Calibri"/>
          <w:b/>
          <w:bCs/>
          <w:sz w:val="20"/>
          <w:szCs w:val="20"/>
          <w:shd w:val="clear" w:color="auto" w:fill="FFFFFF"/>
        </w:rPr>
        <w:t xml:space="preserve"> e per il </w:t>
      </w:r>
      <w:r w:rsidRPr="009A7CD7">
        <w:rPr>
          <w:rFonts w:eastAsia="Calibri"/>
          <w:b/>
          <w:bCs/>
          <w:sz w:val="20"/>
          <w:szCs w:val="20"/>
          <w:shd w:val="clear" w:color="auto" w:fill="FFFFFF"/>
        </w:rPr>
        <w:t xml:space="preserve">30% </w:t>
      </w:r>
      <w:r w:rsidR="00383A28" w:rsidRPr="009A7CD7">
        <w:rPr>
          <w:rFonts w:eastAsia="Calibri"/>
          <w:b/>
          <w:bCs/>
          <w:sz w:val="20"/>
          <w:szCs w:val="20"/>
          <w:shd w:val="clear" w:color="auto" w:fill="FFFFFF"/>
        </w:rPr>
        <w:t xml:space="preserve">in base alle </w:t>
      </w:r>
      <w:r w:rsidRPr="009A7CD7">
        <w:rPr>
          <w:rFonts w:eastAsia="Calibri"/>
          <w:b/>
          <w:bCs/>
          <w:sz w:val="20"/>
          <w:szCs w:val="20"/>
          <w:shd w:val="clear" w:color="auto" w:fill="FFFFFF"/>
        </w:rPr>
        <w:t xml:space="preserve">indennità di accompagnamento </w:t>
      </w:r>
      <w:r w:rsidR="00CE15A4" w:rsidRPr="009A7CD7">
        <w:rPr>
          <w:rFonts w:eastAsia="Calibri"/>
          <w:b/>
          <w:bCs/>
          <w:sz w:val="20"/>
          <w:szCs w:val="20"/>
          <w:shd w:val="clear" w:color="auto" w:fill="FFFFFF"/>
        </w:rPr>
        <w:t xml:space="preserve">per la popolazione </w:t>
      </w:r>
      <w:r w:rsidRPr="009A7CD7">
        <w:rPr>
          <w:rFonts w:eastAsia="Calibri"/>
          <w:b/>
          <w:bCs/>
          <w:sz w:val="20"/>
          <w:szCs w:val="20"/>
          <w:shd w:val="clear" w:color="auto" w:fill="FFFFFF"/>
        </w:rPr>
        <w:t>over 70 (fonte INPS)</w:t>
      </w:r>
      <w:r w:rsidR="00CE15A4" w:rsidRPr="009A7CD7">
        <w:rPr>
          <w:rFonts w:eastAsia="Calibri"/>
          <w:b/>
          <w:bCs/>
          <w:sz w:val="20"/>
          <w:szCs w:val="20"/>
          <w:shd w:val="clear" w:color="auto" w:fill="FFFFFF"/>
        </w:rPr>
        <w:t>.</w:t>
      </w:r>
    </w:p>
    <w:p w14:paraId="2857E22C" w14:textId="77777777" w:rsidR="00627697" w:rsidRPr="009A7CD7" w:rsidRDefault="00627697" w:rsidP="000510A2">
      <w:pPr>
        <w:tabs>
          <w:tab w:val="left" w:pos="680"/>
        </w:tabs>
        <w:ind w:right="106"/>
        <w:rPr>
          <w:rFonts w:eastAsia="Calibri"/>
          <w:b/>
          <w:bCs/>
          <w:shd w:val="clear" w:color="auto" w:fill="FFFFFF"/>
        </w:rPr>
      </w:pPr>
    </w:p>
    <w:p w14:paraId="7F646043" w14:textId="48CDECDD" w:rsidR="00627697" w:rsidRPr="009A7CD7" w:rsidRDefault="00627697">
      <w:pPr>
        <w:spacing w:after="160" w:line="259" w:lineRule="auto"/>
        <w:rPr>
          <w:rFonts w:eastAsia="Calibri"/>
          <w:b/>
          <w:bCs/>
          <w:shd w:val="clear" w:color="auto" w:fill="FFFFFF"/>
        </w:rPr>
      </w:pPr>
      <w:r w:rsidRPr="009A7CD7">
        <w:rPr>
          <w:rFonts w:eastAsia="Calibri"/>
          <w:b/>
          <w:bCs/>
          <w:shd w:val="clear" w:color="auto" w:fill="FFFFFF"/>
        </w:rPr>
        <w:br w:type="page"/>
      </w:r>
    </w:p>
    <w:tbl>
      <w:tblPr>
        <w:tblW w:w="10060" w:type="dxa"/>
        <w:jc w:val="center"/>
        <w:tblCellMar>
          <w:left w:w="70" w:type="dxa"/>
          <w:right w:w="70" w:type="dxa"/>
        </w:tblCellMar>
        <w:tblLook w:val="04A0" w:firstRow="1" w:lastRow="0" w:firstColumn="1" w:lastColumn="0" w:noHBand="0" w:noVBand="1"/>
      </w:tblPr>
      <w:tblGrid>
        <w:gridCol w:w="2830"/>
        <w:gridCol w:w="2127"/>
        <w:gridCol w:w="2268"/>
        <w:gridCol w:w="2835"/>
      </w:tblGrid>
      <w:tr w:rsidR="000B7416" w:rsidRPr="009A7CD7" w14:paraId="692CE6FF" w14:textId="77777777" w:rsidTr="00D010A1">
        <w:trPr>
          <w:trHeight w:val="703"/>
          <w:jc w:val="center"/>
        </w:trPr>
        <w:tc>
          <w:tcPr>
            <w:tcW w:w="10060" w:type="dxa"/>
            <w:gridSpan w:val="4"/>
            <w:tcBorders>
              <w:top w:val="single" w:sz="4" w:space="0" w:color="auto"/>
              <w:left w:val="single" w:sz="4" w:space="0" w:color="auto"/>
              <w:bottom w:val="single" w:sz="4" w:space="0" w:color="auto"/>
              <w:right w:val="single" w:sz="4" w:space="0" w:color="auto"/>
            </w:tcBorders>
            <w:vAlign w:val="center"/>
          </w:tcPr>
          <w:p w14:paraId="442868F0" w14:textId="29ED0341" w:rsidR="00460CE2" w:rsidRPr="009A7CD7" w:rsidRDefault="000B7416" w:rsidP="000B7416">
            <w:pPr>
              <w:jc w:val="center"/>
              <w:rPr>
                <w:b/>
                <w:bCs/>
                <w:color w:val="000000"/>
              </w:rPr>
            </w:pPr>
            <w:r w:rsidRPr="009A7CD7">
              <w:rPr>
                <w:b/>
                <w:bCs/>
                <w:color w:val="000000"/>
              </w:rPr>
              <w:lastRenderedPageBreak/>
              <w:t xml:space="preserve">Tabella 4 </w:t>
            </w:r>
          </w:p>
          <w:p w14:paraId="1F0DA2D7" w14:textId="726C69EC" w:rsidR="000B7416" w:rsidRPr="009A7CD7" w:rsidRDefault="000B7416" w:rsidP="000B7416">
            <w:pPr>
              <w:jc w:val="center"/>
              <w:rPr>
                <w:b/>
                <w:bCs/>
                <w:color w:val="000000"/>
              </w:rPr>
            </w:pPr>
            <w:r w:rsidRPr="009A7CD7">
              <w:rPr>
                <w:b/>
                <w:bCs/>
                <w:color w:val="000000"/>
              </w:rPr>
              <w:t>Quota LEPS</w:t>
            </w:r>
          </w:p>
        </w:tc>
      </w:tr>
      <w:tr w:rsidR="000B7416" w:rsidRPr="009A7CD7" w14:paraId="66FF3284" w14:textId="77777777" w:rsidTr="00D010A1">
        <w:trPr>
          <w:trHeight w:val="323"/>
          <w:jc w:val="center"/>
        </w:trPr>
        <w:tc>
          <w:tcPr>
            <w:tcW w:w="2830" w:type="dxa"/>
            <w:tcBorders>
              <w:top w:val="single" w:sz="4" w:space="0" w:color="auto"/>
              <w:left w:val="single" w:sz="4" w:space="0" w:color="auto"/>
              <w:bottom w:val="single" w:sz="4" w:space="0" w:color="auto"/>
              <w:right w:val="single" w:sz="4" w:space="0" w:color="auto"/>
            </w:tcBorders>
            <w:vAlign w:val="center"/>
          </w:tcPr>
          <w:p w14:paraId="2B1D3C81" w14:textId="56307643" w:rsidR="000B7416" w:rsidRPr="009A7CD7" w:rsidRDefault="000B7416" w:rsidP="000B7416">
            <w:pPr>
              <w:jc w:val="center"/>
              <w:rPr>
                <w:b/>
                <w:bCs/>
                <w:color w:val="000000"/>
                <w:sz w:val="22"/>
                <w:szCs w:val="22"/>
              </w:rPr>
            </w:pPr>
            <w:r w:rsidRPr="009A7CD7">
              <w:rPr>
                <w:b/>
                <w:bCs/>
                <w:color w:val="000000"/>
                <w:sz w:val="22"/>
                <w:szCs w:val="22"/>
              </w:rPr>
              <w:t>Regioni</w:t>
            </w:r>
          </w:p>
        </w:tc>
        <w:tc>
          <w:tcPr>
            <w:tcW w:w="2127" w:type="dxa"/>
            <w:tcBorders>
              <w:top w:val="single" w:sz="4" w:space="0" w:color="auto"/>
              <w:left w:val="nil"/>
              <w:bottom w:val="single" w:sz="4" w:space="0" w:color="auto"/>
              <w:right w:val="single" w:sz="4" w:space="0" w:color="auto"/>
            </w:tcBorders>
            <w:vAlign w:val="center"/>
          </w:tcPr>
          <w:p w14:paraId="1BA6DDA2" w14:textId="2DCD1A0E" w:rsidR="000B7416" w:rsidRPr="009A7CD7" w:rsidRDefault="00E7108F" w:rsidP="000B7416">
            <w:pPr>
              <w:jc w:val="center"/>
              <w:rPr>
                <w:b/>
                <w:bCs/>
                <w:color w:val="000000"/>
                <w:sz w:val="22"/>
                <w:szCs w:val="22"/>
              </w:rPr>
            </w:pPr>
            <w:r w:rsidRPr="009A7CD7">
              <w:rPr>
                <w:b/>
                <w:bCs/>
                <w:color w:val="000000"/>
                <w:sz w:val="22"/>
                <w:szCs w:val="22"/>
              </w:rPr>
              <w:t>P</w:t>
            </w:r>
            <w:r w:rsidR="000B7416" w:rsidRPr="009A7CD7">
              <w:rPr>
                <w:b/>
                <w:bCs/>
                <w:color w:val="000000"/>
                <w:sz w:val="22"/>
                <w:szCs w:val="22"/>
              </w:rPr>
              <w:t>opolazione residente (70+)</w:t>
            </w:r>
          </w:p>
        </w:tc>
        <w:tc>
          <w:tcPr>
            <w:tcW w:w="2268" w:type="dxa"/>
            <w:tcBorders>
              <w:top w:val="single" w:sz="4" w:space="0" w:color="auto"/>
              <w:left w:val="nil"/>
              <w:bottom w:val="single" w:sz="4" w:space="0" w:color="auto"/>
              <w:right w:val="single" w:sz="4" w:space="0" w:color="auto"/>
            </w:tcBorders>
            <w:vAlign w:val="center"/>
          </w:tcPr>
          <w:p w14:paraId="6B914F3D" w14:textId="6D08DF2E" w:rsidR="000B7416" w:rsidRPr="009A7CD7" w:rsidRDefault="00E7108F" w:rsidP="000B7416">
            <w:pPr>
              <w:jc w:val="center"/>
              <w:rPr>
                <w:b/>
                <w:bCs/>
                <w:color w:val="000000"/>
                <w:sz w:val="22"/>
                <w:szCs w:val="22"/>
              </w:rPr>
            </w:pPr>
            <w:r w:rsidRPr="009A7CD7">
              <w:rPr>
                <w:b/>
                <w:bCs/>
                <w:color w:val="000000"/>
                <w:sz w:val="22"/>
                <w:szCs w:val="22"/>
              </w:rPr>
              <w:t xml:space="preserve">Popolazione con </w:t>
            </w:r>
            <w:r w:rsidR="000B7416" w:rsidRPr="009A7CD7">
              <w:rPr>
                <w:b/>
                <w:bCs/>
                <w:color w:val="000000"/>
                <w:sz w:val="22"/>
                <w:szCs w:val="22"/>
              </w:rPr>
              <w:t>indennità</w:t>
            </w:r>
            <w:r w:rsidRPr="009A7CD7">
              <w:rPr>
                <w:b/>
                <w:bCs/>
                <w:color w:val="000000"/>
                <w:sz w:val="22"/>
                <w:szCs w:val="22"/>
              </w:rPr>
              <w:t xml:space="preserve"> di</w:t>
            </w:r>
            <w:r w:rsidR="000B7416" w:rsidRPr="009A7CD7">
              <w:rPr>
                <w:b/>
                <w:bCs/>
                <w:color w:val="000000"/>
                <w:sz w:val="22"/>
                <w:szCs w:val="22"/>
              </w:rPr>
              <w:t xml:space="preserve"> accompagnamento (70+)</w:t>
            </w:r>
          </w:p>
        </w:tc>
        <w:tc>
          <w:tcPr>
            <w:tcW w:w="2835" w:type="dxa"/>
            <w:tcBorders>
              <w:top w:val="single" w:sz="4" w:space="0" w:color="auto"/>
              <w:left w:val="nil"/>
              <w:bottom w:val="single" w:sz="4" w:space="0" w:color="auto"/>
              <w:right w:val="single" w:sz="4" w:space="0" w:color="auto"/>
            </w:tcBorders>
            <w:noWrap/>
            <w:vAlign w:val="center"/>
          </w:tcPr>
          <w:p w14:paraId="4099CAA0" w14:textId="7473D1FB" w:rsidR="000B7416" w:rsidRPr="009A7CD7" w:rsidRDefault="000B7416" w:rsidP="000B7416">
            <w:pPr>
              <w:jc w:val="center"/>
              <w:rPr>
                <w:b/>
                <w:bCs/>
                <w:color w:val="000000"/>
                <w:sz w:val="22"/>
                <w:szCs w:val="22"/>
              </w:rPr>
            </w:pPr>
            <w:r w:rsidRPr="009A7CD7">
              <w:rPr>
                <w:b/>
                <w:bCs/>
                <w:color w:val="000000"/>
                <w:sz w:val="22"/>
                <w:szCs w:val="22"/>
              </w:rPr>
              <w:t>Importo quota LEPS per ciascun anno del triennio 2025-2027</w:t>
            </w:r>
            <w:r w:rsidR="005C1CDA" w:rsidRPr="009A7CD7">
              <w:rPr>
                <w:b/>
                <w:bCs/>
                <w:color w:val="000000"/>
                <w:sz w:val="22"/>
                <w:szCs w:val="22"/>
              </w:rPr>
              <w:t>*</w:t>
            </w:r>
          </w:p>
        </w:tc>
      </w:tr>
      <w:tr w:rsidR="000B7416" w:rsidRPr="009A7CD7" w14:paraId="4F9F249C" w14:textId="77777777" w:rsidTr="00D010A1">
        <w:trPr>
          <w:trHeight w:val="323"/>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2014EED0" w14:textId="77777777" w:rsidR="000B7416" w:rsidRPr="009A7CD7" w:rsidRDefault="000B7416" w:rsidP="000B7416">
            <w:pPr>
              <w:rPr>
                <w:b/>
                <w:bCs/>
                <w:color w:val="000000"/>
                <w:sz w:val="22"/>
                <w:szCs w:val="22"/>
              </w:rPr>
            </w:pPr>
          </w:p>
        </w:tc>
        <w:tc>
          <w:tcPr>
            <w:tcW w:w="2127" w:type="dxa"/>
            <w:tcBorders>
              <w:top w:val="nil"/>
              <w:left w:val="nil"/>
              <w:bottom w:val="single" w:sz="4" w:space="0" w:color="auto"/>
              <w:right w:val="single" w:sz="4" w:space="0" w:color="auto"/>
            </w:tcBorders>
            <w:vAlign w:val="bottom"/>
            <w:hideMark/>
          </w:tcPr>
          <w:p w14:paraId="5E1A5AE2" w14:textId="77777777" w:rsidR="000B7416" w:rsidRPr="009A7CD7" w:rsidRDefault="000B7416" w:rsidP="000B7416">
            <w:pPr>
              <w:jc w:val="center"/>
              <w:rPr>
                <w:color w:val="000000"/>
                <w:sz w:val="22"/>
                <w:szCs w:val="22"/>
              </w:rPr>
            </w:pPr>
            <w:r w:rsidRPr="009A7CD7">
              <w:rPr>
                <w:color w:val="000000"/>
                <w:sz w:val="22"/>
                <w:szCs w:val="22"/>
              </w:rPr>
              <w:t>%</w:t>
            </w:r>
          </w:p>
        </w:tc>
        <w:tc>
          <w:tcPr>
            <w:tcW w:w="2268" w:type="dxa"/>
            <w:tcBorders>
              <w:top w:val="nil"/>
              <w:left w:val="nil"/>
              <w:bottom w:val="single" w:sz="4" w:space="0" w:color="auto"/>
              <w:right w:val="single" w:sz="4" w:space="0" w:color="auto"/>
            </w:tcBorders>
            <w:vAlign w:val="bottom"/>
            <w:hideMark/>
          </w:tcPr>
          <w:p w14:paraId="341D6838" w14:textId="77777777" w:rsidR="000B7416" w:rsidRPr="009A7CD7" w:rsidRDefault="000B7416" w:rsidP="000B7416">
            <w:pPr>
              <w:jc w:val="center"/>
              <w:rPr>
                <w:color w:val="000000"/>
                <w:sz w:val="22"/>
                <w:szCs w:val="22"/>
              </w:rPr>
            </w:pPr>
            <w:r w:rsidRPr="009A7CD7">
              <w:rPr>
                <w:color w:val="000000"/>
                <w:sz w:val="22"/>
                <w:szCs w:val="22"/>
              </w:rPr>
              <w:t>%</w:t>
            </w:r>
          </w:p>
        </w:tc>
        <w:tc>
          <w:tcPr>
            <w:tcW w:w="2835" w:type="dxa"/>
            <w:tcBorders>
              <w:top w:val="nil"/>
              <w:left w:val="nil"/>
              <w:bottom w:val="single" w:sz="4" w:space="0" w:color="auto"/>
              <w:right w:val="single" w:sz="4" w:space="0" w:color="auto"/>
            </w:tcBorders>
            <w:noWrap/>
            <w:vAlign w:val="center"/>
            <w:hideMark/>
          </w:tcPr>
          <w:p w14:paraId="6733F732" w14:textId="74A763BA" w:rsidR="000B7416" w:rsidRPr="009A7CD7" w:rsidRDefault="00E7108F" w:rsidP="000B7416">
            <w:pPr>
              <w:jc w:val="center"/>
              <w:rPr>
                <w:color w:val="000000"/>
                <w:sz w:val="22"/>
                <w:szCs w:val="22"/>
              </w:rPr>
            </w:pPr>
            <w:r w:rsidRPr="009A7CD7">
              <w:rPr>
                <w:color w:val="000000"/>
                <w:sz w:val="22"/>
                <w:szCs w:val="22"/>
              </w:rPr>
              <w:t>Euro</w:t>
            </w:r>
          </w:p>
        </w:tc>
      </w:tr>
      <w:tr w:rsidR="000B7416" w:rsidRPr="009A7CD7" w14:paraId="0722B3F3" w14:textId="77777777" w:rsidTr="00D010A1">
        <w:trPr>
          <w:trHeight w:val="310"/>
          <w:jc w:val="center"/>
        </w:trPr>
        <w:tc>
          <w:tcPr>
            <w:tcW w:w="2830" w:type="dxa"/>
            <w:tcBorders>
              <w:top w:val="nil"/>
              <w:left w:val="single" w:sz="4" w:space="0" w:color="auto"/>
              <w:bottom w:val="single" w:sz="4" w:space="0" w:color="auto"/>
              <w:right w:val="single" w:sz="4" w:space="0" w:color="auto"/>
            </w:tcBorders>
            <w:noWrap/>
            <w:vAlign w:val="bottom"/>
            <w:hideMark/>
          </w:tcPr>
          <w:p w14:paraId="274C60A5" w14:textId="77777777" w:rsidR="000B7416" w:rsidRPr="009A7CD7" w:rsidRDefault="000B7416" w:rsidP="000B7416">
            <w:pPr>
              <w:rPr>
                <w:color w:val="000000"/>
                <w:sz w:val="22"/>
                <w:szCs w:val="22"/>
              </w:rPr>
            </w:pPr>
            <w:r w:rsidRPr="009A7CD7">
              <w:rPr>
                <w:color w:val="000000"/>
                <w:sz w:val="22"/>
                <w:szCs w:val="22"/>
              </w:rPr>
              <w:t>Abruzzo</w:t>
            </w:r>
          </w:p>
        </w:tc>
        <w:tc>
          <w:tcPr>
            <w:tcW w:w="2127" w:type="dxa"/>
            <w:tcBorders>
              <w:top w:val="nil"/>
              <w:left w:val="nil"/>
              <w:bottom w:val="single" w:sz="4" w:space="0" w:color="auto"/>
              <w:right w:val="single" w:sz="4" w:space="0" w:color="auto"/>
            </w:tcBorders>
            <w:noWrap/>
            <w:vAlign w:val="center"/>
            <w:hideMark/>
          </w:tcPr>
          <w:p w14:paraId="382469F7" w14:textId="77777777" w:rsidR="000B7416" w:rsidRPr="009A7CD7" w:rsidRDefault="000B7416" w:rsidP="000B7416">
            <w:pPr>
              <w:jc w:val="center"/>
              <w:rPr>
                <w:color w:val="000000"/>
                <w:sz w:val="22"/>
                <w:szCs w:val="22"/>
              </w:rPr>
            </w:pPr>
            <w:r w:rsidRPr="009A7CD7">
              <w:rPr>
                <w:color w:val="000000"/>
                <w:sz w:val="22"/>
                <w:szCs w:val="22"/>
              </w:rPr>
              <w:t>2,2976</w:t>
            </w:r>
          </w:p>
        </w:tc>
        <w:tc>
          <w:tcPr>
            <w:tcW w:w="2268" w:type="dxa"/>
            <w:tcBorders>
              <w:top w:val="nil"/>
              <w:left w:val="nil"/>
              <w:bottom w:val="single" w:sz="4" w:space="0" w:color="auto"/>
              <w:right w:val="single" w:sz="4" w:space="0" w:color="auto"/>
            </w:tcBorders>
            <w:noWrap/>
            <w:vAlign w:val="center"/>
            <w:hideMark/>
          </w:tcPr>
          <w:p w14:paraId="68020245" w14:textId="77777777" w:rsidR="000B7416" w:rsidRPr="009A7CD7" w:rsidRDefault="000B7416" w:rsidP="000B7416">
            <w:pPr>
              <w:jc w:val="center"/>
              <w:rPr>
                <w:color w:val="000000"/>
                <w:sz w:val="22"/>
                <w:szCs w:val="22"/>
              </w:rPr>
            </w:pPr>
            <w:r w:rsidRPr="009A7CD7">
              <w:rPr>
                <w:color w:val="000000"/>
                <w:sz w:val="22"/>
                <w:szCs w:val="22"/>
              </w:rPr>
              <w:t>2,2723</w:t>
            </w:r>
          </w:p>
        </w:tc>
        <w:tc>
          <w:tcPr>
            <w:tcW w:w="2835" w:type="dxa"/>
            <w:tcBorders>
              <w:top w:val="nil"/>
              <w:left w:val="nil"/>
              <w:bottom w:val="single" w:sz="4" w:space="0" w:color="auto"/>
              <w:right w:val="single" w:sz="4" w:space="0" w:color="auto"/>
            </w:tcBorders>
            <w:noWrap/>
            <w:vAlign w:val="center"/>
            <w:hideMark/>
          </w:tcPr>
          <w:p w14:paraId="301DED3B" w14:textId="77777777" w:rsidR="000B7416" w:rsidRPr="009A7CD7" w:rsidRDefault="000B7416" w:rsidP="006E1DA8">
            <w:pPr>
              <w:jc w:val="center"/>
              <w:rPr>
                <w:color w:val="000000"/>
                <w:sz w:val="22"/>
                <w:szCs w:val="22"/>
              </w:rPr>
            </w:pPr>
            <w:r w:rsidRPr="009A7CD7">
              <w:rPr>
                <w:color w:val="000000"/>
                <w:sz w:val="22"/>
                <w:szCs w:val="22"/>
              </w:rPr>
              <w:t>5.725.025</w:t>
            </w:r>
          </w:p>
        </w:tc>
      </w:tr>
      <w:tr w:rsidR="000B7416" w:rsidRPr="009A7CD7" w14:paraId="7FA6BDB0" w14:textId="77777777" w:rsidTr="00D010A1">
        <w:trPr>
          <w:trHeight w:val="310"/>
          <w:jc w:val="center"/>
        </w:trPr>
        <w:tc>
          <w:tcPr>
            <w:tcW w:w="2830" w:type="dxa"/>
            <w:tcBorders>
              <w:top w:val="nil"/>
              <w:left w:val="single" w:sz="4" w:space="0" w:color="auto"/>
              <w:bottom w:val="single" w:sz="4" w:space="0" w:color="auto"/>
              <w:right w:val="single" w:sz="4" w:space="0" w:color="auto"/>
            </w:tcBorders>
            <w:noWrap/>
            <w:vAlign w:val="bottom"/>
            <w:hideMark/>
          </w:tcPr>
          <w:p w14:paraId="595E17A4" w14:textId="77777777" w:rsidR="000B7416" w:rsidRPr="009A7CD7" w:rsidRDefault="000B7416" w:rsidP="000B7416">
            <w:pPr>
              <w:rPr>
                <w:color w:val="000000"/>
                <w:sz w:val="22"/>
                <w:szCs w:val="22"/>
              </w:rPr>
            </w:pPr>
            <w:r w:rsidRPr="009A7CD7">
              <w:rPr>
                <w:color w:val="000000"/>
                <w:sz w:val="22"/>
                <w:szCs w:val="22"/>
              </w:rPr>
              <w:t>Basilicata</w:t>
            </w:r>
          </w:p>
        </w:tc>
        <w:tc>
          <w:tcPr>
            <w:tcW w:w="2127" w:type="dxa"/>
            <w:tcBorders>
              <w:top w:val="nil"/>
              <w:left w:val="nil"/>
              <w:bottom w:val="single" w:sz="4" w:space="0" w:color="auto"/>
              <w:right w:val="single" w:sz="4" w:space="0" w:color="auto"/>
            </w:tcBorders>
            <w:noWrap/>
            <w:vAlign w:val="center"/>
            <w:hideMark/>
          </w:tcPr>
          <w:p w14:paraId="09BDC86C" w14:textId="77777777" w:rsidR="000B7416" w:rsidRPr="009A7CD7" w:rsidRDefault="000B7416" w:rsidP="000B7416">
            <w:pPr>
              <w:jc w:val="center"/>
              <w:rPr>
                <w:color w:val="000000"/>
                <w:sz w:val="22"/>
                <w:szCs w:val="22"/>
              </w:rPr>
            </w:pPr>
            <w:r w:rsidRPr="009A7CD7">
              <w:rPr>
                <w:color w:val="000000"/>
                <w:sz w:val="22"/>
                <w:szCs w:val="22"/>
              </w:rPr>
              <w:t>0,9419</w:t>
            </w:r>
          </w:p>
        </w:tc>
        <w:tc>
          <w:tcPr>
            <w:tcW w:w="2268" w:type="dxa"/>
            <w:tcBorders>
              <w:top w:val="nil"/>
              <w:left w:val="nil"/>
              <w:bottom w:val="single" w:sz="4" w:space="0" w:color="auto"/>
              <w:right w:val="single" w:sz="4" w:space="0" w:color="auto"/>
            </w:tcBorders>
            <w:noWrap/>
            <w:vAlign w:val="center"/>
            <w:hideMark/>
          </w:tcPr>
          <w:p w14:paraId="50BE828B" w14:textId="77777777" w:rsidR="000B7416" w:rsidRPr="009A7CD7" w:rsidRDefault="000B7416" w:rsidP="000B7416">
            <w:pPr>
              <w:jc w:val="center"/>
              <w:rPr>
                <w:color w:val="000000"/>
                <w:sz w:val="22"/>
                <w:szCs w:val="22"/>
              </w:rPr>
            </w:pPr>
            <w:r w:rsidRPr="009A7CD7">
              <w:rPr>
                <w:color w:val="000000"/>
                <w:sz w:val="22"/>
                <w:szCs w:val="22"/>
              </w:rPr>
              <w:t>1,1083</w:t>
            </w:r>
          </w:p>
        </w:tc>
        <w:tc>
          <w:tcPr>
            <w:tcW w:w="2835" w:type="dxa"/>
            <w:tcBorders>
              <w:top w:val="nil"/>
              <w:left w:val="nil"/>
              <w:bottom w:val="single" w:sz="4" w:space="0" w:color="auto"/>
              <w:right w:val="single" w:sz="4" w:space="0" w:color="auto"/>
            </w:tcBorders>
            <w:noWrap/>
            <w:vAlign w:val="center"/>
            <w:hideMark/>
          </w:tcPr>
          <w:p w14:paraId="37A2E7E3" w14:textId="77777777" w:rsidR="000B7416" w:rsidRPr="009A7CD7" w:rsidRDefault="000B7416" w:rsidP="006E1DA8">
            <w:pPr>
              <w:jc w:val="center"/>
              <w:rPr>
                <w:color w:val="000000"/>
                <w:sz w:val="22"/>
                <w:szCs w:val="22"/>
              </w:rPr>
            </w:pPr>
            <w:r w:rsidRPr="009A7CD7">
              <w:rPr>
                <w:color w:val="000000"/>
                <w:sz w:val="22"/>
                <w:szCs w:val="22"/>
              </w:rPr>
              <w:t>2.479.550</w:t>
            </w:r>
          </w:p>
        </w:tc>
      </w:tr>
      <w:tr w:rsidR="000B7416" w:rsidRPr="009A7CD7" w14:paraId="54FF67EB" w14:textId="77777777" w:rsidTr="00D010A1">
        <w:trPr>
          <w:trHeight w:val="310"/>
          <w:jc w:val="center"/>
        </w:trPr>
        <w:tc>
          <w:tcPr>
            <w:tcW w:w="2830" w:type="dxa"/>
            <w:tcBorders>
              <w:top w:val="nil"/>
              <w:left w:val="single" w:sz="4" w:space="0" w:color="auto"/>
              <w:bottom w:val="single" w:sz="4" w:space="0" w:color="auto"/>
              <w:right w:val="single" w:sz="4" w:space="0" w:color="auto"/>
            </w:tcBorders>
            <w:noWrap/>
            <w:vAlign w:val="bottom"/>
            <w:hideMark/>
          </w:tcPr>
          <w:p w14:paraId="3AC7FB0E" w14:textId="77777777" w:rsidR="000B7416" w:rsidRPr="009A7CD7" w:rsidRDefault="000B7416" w:rsidP="000B7416">
            <w:pPr>
              <w:rPr>
                <w:color w:val="000000"/>
                <w:sz w:val="22"/>
                <w:szCs w:val="22"/>
              </w:rPr>
            </w:pPr>
            <w:r w:rsidRPr="009A7CD7">
              <w:rPr>
                <w:color w:val="000000"/>
                <w:sz w:val="22"/>
                <w:szCs w:val="22"/>
              </w:rPr>
              <w:t>Calabria</w:t>
            </w:r>
          </w:p>
        </w:tc>
        <w:tc>
          <w:tcPr>
            <w:tcW w:w="2127" w:type="dxa"/>
            <w:tcBorders>
              <w:top w:val="nil"/>
              <w:left w:val="nil"/>
              <w:bottom w:val="single" w:sz="4" w:space="0" w:color="auto"/>
              <w:right w:val="single" w:sz="4" w:space="0" w:color="auto"/>
            </w:tcBorders>
            <w:noWrap/>
            <w:vAlign w:val="center"/>
            <w:hideMark/>
          </w:tcPr>
          <w:p w14:paraId="24F71424" w14:textId="77777777" w:rsidR="000B7416" w:rsidRPr="009A7CD7" w:rsidRDefault="000B7416" w:rsidP="000B7416">
            <w:pPr>
              <w:jc w:val="center"/>
              <w:rPr>
                <w:color w:val="000000"/>
                <w:sz w:val="22"/>
                <w:szCs w:val="22"/>
              </w:rPr>
            </w:pPr>
            <w:r w:rsidRPr="009A7CD7">
              <w:rPr>
                <w:color w:val="000000"/>
                <w:sz w:val="22"/>
                <w:szCs w:val="22"/>
              </w:rPr>
              <w:t>3,0538</w:t>
            </w:r>
          </w:p>
        </w:tc>
        <w:tc>
          <w:tcPr>
            <w:tcW w:w="2268" w:type="dxa"/>
            <w:tcBorders>
              <w:top w:val="nil"/>
              <w:left w:val="nil"/>
              <w:bottom w:val="single" w:sz="4" w:space="0" w:color="auto"/>
              <w:right w:val="single" w:sz="4" w:space="0" w:color="auto"/>
            </w:tcBorders>
            <w:noWrap/>
            <w:vAlign w:val="center"/>
            <w:hideMark/>
          </w:tcPr>
          <w:p w14:paraId="35CC6A91" w14:textId="77777777" w:rsidR="000B7416" w:rsidRPr="009A7CD7" w:rsidRDefault="000B7416" w:rsidP="000B7416">
            <w:pPr>
              <w:jc w:val="center"/>
              <w:rPr>
                <w:color w:val="000000"/>
                <w:sz w:val="22"/>
                <w:szCs w:val="22"/>
              </w:rPr>
            </w:pPr>
            <w:r w:rsidRPr="009A7CD7">
              <w:rPr>
                <w:color w:val="000000"/>
                <w:sz w:val="22"/>
                <w:szCs w:val="22"/>
              </w:rPr>
              <w:t>5,0127</w:t>
            </w:r>
          </w:p>
        </w:tc>
        <w:tc>
          <w:tcPr>
            <w:tcW w:w="2835" w:type="dxa"/>
            <w:tcBorders>
              <w:top w:val="nil"/>
              <w:left w:val="nil"/>
              <w:bottom w:val="single" w:sz="4" w:space="0" w:color="auto"/>
              <w:right w:val="single" w:sz="4" w:space="0" w:color="auto"/>
            </w:tcBorders>
            <w:noWrap/>
            <w:vAlign w:val="center"/>
            <w:hideMark/>
          </w:tcPr>
          <w:p w14:paraId="7E210D12" w14:textId="77777777" w:rsidR="000B7416" w:rsidRPr="009A7CD7" w:rsidRDefault="000B7416" w:rsidP="006E1DA8">
            <w:pPr>
              <w:jc w:val="center"/>
              <w:rPr>
                <w:color w:val="000000"/>
                <w:sz w:val="22"/>
                <w:szCs w:val="22"/>
              </w:rPr>
            </w:pPr>
            <w:r w:rsidRPr="009A7CD7">
              <w:rPr>
                <w:color w:val="000000"/>
                <w:sz w:val="22"/>
                <w:szCs w:val="22"/>
              </w:rPr>
              <w:t>9.103.675</w:t>
            </w:r>
          </w:p>
        </w:tc>
      </w:tr>
      <w:tr w:rsidR="000B7416" w:rsidRPr="009A7CD7" w14:paraId="2DB6E7AD" w14:textId="77777777" w:rsidTr="00D010A1">
        <w:trPr>
          <w:trHeight w:val="310"/>
          <w:jc w:val="center"/>
        </w:trPr>
        <w:tc>
          <w:tcPr>
            <w:tcW w:w="2830" w:type="dxa"/>
            <w:tcBorders>
              <w:top w:val="nil"/>
              <w:left w:val="single" w:sz="4" w:space="0" w:color="auto"/>
              <w:bottom w:val="single" w:sz="4" w:space="0" w:color="auto"/>
              <w:right w:val="single" w:sz="4" w:space="0" w:color="auto"/>
            </w:tcBorders>
            <w:noWrap/>
            <w:vAlign w:val="bottom"/>
            <w:hideMark/>
          </w:tcPr>
          <w:p w14:paraId="6542904A" w14:textId="77777777" w:rsidR="000B7416" w:rsidRPr="009A7CD7" w:rsidRDefault="000B7416" w:rsidP="000B7416">
            <w:pPr>
              <w:rPr>
                <w:color w:val="000000"/>
                <w:sz w:val="22"/>
                <w:szCs w:val="22"/>
              </w:rPr>
            </w:pPr>
            <w:r w:rsidRPr="009A7CD7">
              <w:rPr>
                <w:color w:val="000000"/>
                <w:sz w:val="22"/>
                <w:szCs w:val="22"/>
              </w:rPr>
              <w:t>Campania</w:t>
            </w:r>
          </w:p>
        </w:tc>
        <w:tc>
          <w:tcPr>
            <w:tcW w:w="2127" w:type="dxa"/>
            <w:tcBorders>
              <w:top w:val="nil"/>
              <w:left w:val="nil"/>
              <w:bottom w:val="single" w:sz="4" w:space="0" w:color="auto"/>
              <w:right w:val="single" w:sz="4" w:space="0" w:color="auto"/>
            </w:tcBorders>
            <w:noWrap/>
            <w:vAlign w:val="center"/>
            <w:hideMark/>
          </w:tcPr>
          <w:p w14:paraId="45A652A1" w14:textId="77777777" w:rsidR="000B7416" w:rsidRPr="009A7CD7" w:rsidRDefault="000B7416" w:rsidP="000B7416">
            <w:pPr>
              <w:jc w:val="center"/>
              <w:rPr>
                <w:color w:val="000000"/>
                <w:sz w:val="22"/>
                <w:szCs w:val="22"/>
              </w:rPr>
            </w:pPr>
            <w:r w:rsidRPr="009A7CD7">
              <w:rPr>
                <w:color w:val="000000"/>
                <w:sz w:val="22"/>
                <w:szCs w:val="22"/>
              </w:rPr>
              <w:t>8,0060</w:t>
            </w:r>
          </w:p>
        </w:tc>
        <w:tc>
          <w:tcPr>
            <w:tcW w:w="2268" w:type="dxa"/>
            <w:tcBorders>
              <w:top w:val="nil"/>
              <w:left w:val="nil"/>
              <w:bottom w:val="single" w:sz="4" w:space="0" w:color="auto"/>
              <w:right w:val="single" w:sz="4" w:space="0" w:color="auto"/>
            </w:tcBorders>
            <w:noWrap/>
            <w:vAlign w:val="center"/>
            <w:hideMark/>
          </w:tcPr>
          <w:p w14:paraId="18BCCBF9" w14:textId="77777777" w:rsidR="000B7416" w:rsidRPr="009A7CD7" w:rsidRDefault="000B7416" w:rsidP="000B7416">
            <w:pPr>
              <w:jc w:val="center"/>
              <w:rPr>
                <w:color w:val="000000"/>
                <w:sz w:val="22"/>
                <w:szCs w:val="22"/>
              </w:rPr>
            </w:pPr>
            <w:r w:rsidRPr="009A7CD7">
              <w:rPr>
                <w:color w:val="000000"/>
                <w:sz w:val="22"/>
                <w:szCs w:val="22"/>
              </w:rPr>
              <w:t>11,3724</w:t>
            </w:r>
          </w:p>
        </w:tc>
        <w:tc>
          <w:tcPr>
            <w:tcW w:w="2835" w:type="dxa"/>
            <w:tcBorders>
              <w:top w:val="nil"/>
              <w:left w:val="nil"/>
              <w:bottom w:val="single" w:sz="4" w:space="0" w:color="auto"/>
              <w:right w:val="single" w:sz="4" w:space="0" w:color="auto"/>
            </w:tcBorders>
            <w:noWrap/>
            <w:vAlign w:val="center"/>
            <w:hideMark/>
          </w:tcPr>
          <w:p w14:paraId="1DE9CF00" w14:textId="77777777" w:rsidR="000B7416" w:rsidRPr="009A7CD7" w:rsidRDefault="000B7416" w:rsidP="006E1DA8">
            <w:pPr>
              <w:jc w:val="center"/>
              <w:rPr>
                <w:color w:val="000000"/>
                <w:sz w:val="22"/>
                <w:szCs w:val="22"/>
              </w:rPr>
            </w:pPr>
            <w:r w:rsidRPr="009A7CD7">
              <w:rPr>
                <w:color w:val="000000"/>
                <w:sz w:val="22"/>
                <w:szCs w:val="22"/>
              </w:rPr>
              <w:t>22.539.800</w:t>
            </w:r>
          </w:p>
        </w:tc>
      </w:tr>
      <w:tr w:rsidR="000B7416" w:rsidRPr="009A7CD7" w14:paraId="28411A75" w14:textId="77777777" w:rsidTr="00D010A1">
        <w:trPr>
          <w:trHeight w:val="310"/>
          <w:jc w:val="center"/>
        </w:trPr>
        <w:tc>
          <w:tcPr>
            <w:tcW w:w="2830" w:type="dxa"/>
            <w:tcBorders>
              <w:top w:val="nil"/>
              <w:left w:val="single" w:sz="4" w:space="0" w:color="auto"/>
              <w:bottom w:val="single" w:sz="4" w:space="0" w:color="auto"/>
              <w:right w:val="single" w:sz="4" w:space="0" w:color="auto"/>
            </w:tcBorders>
            <w:noWrap/>
            <w:vAlign w:val="bottom"/>
            <w:hideMark/>
          </w:tcPr>
          <w:p w14:paraId="5CE2A5EC" w14:textId="77777777" w:rsidR="000B7416" w:rsidRPr="009A7CD7" w:rsidRDefault="000B7416" w:rsidP="000B7416">
            <w:pPr>
              <w:rPr>
                <w:color w:val="000000"/>
                <w:sz w:val="22"/>
                <w:szCs w:val="22"/>
              </w:rPr>
            </w:pPr>
            <w:r w:rsidRPr="009A7CD7">
              <w:rPr>
                <w:color w:val="000000"/>
                <w:sz w:val="22"/>
                <w:szCs w:val="22"/>
              </w:rPr>
              <w:t>Emilia-Romagna</w:t>
            </w:r>
          </w:p>
        </w:tc>
        <w:tc>
          <w:tcPr>
            <w:tcW w:w="2127" w:type="dxa"/>
            <w:tcBorders>
              <w:top w:val="nil"/>
              <w:left w:val="nil"/>
              <w:bottom w:val="single" w:sz="4" w:space="0" w:color="auto"/>
              <w:right w:val="single" w:sz="4" w:space="0" w:color="auto"/>
            </w:tcBorders>
            <w:noWrap/>
            <w:vAlign w:val="center"/>
            <w:hideMark/>
          </w:tcPr>
          <w:p w14:paraId="7E0432E9" w14:textId="77777777" w:rsidR="000B7416" w:rsidRPr="009A7CD7" w:rsidRDefault="000B7416" w:rsidP="000B7416">
            <w:pPr>
              <w:jc w:val="center"/>
              <w:rPr>
                <w:color w:val="000000"/>
                <w:sz w:val="22"/>
                <w:szCs w:val="22"/>
              </w:rPr>
            </w:pPr>
            <w:r w:rsidRPr="009A7CD7">
              <w:rPr>
                <w:color w:val="000000"/>
                <w:sz w:val="22"/>
                <w:szCs w:val="22"/>
              </w:rPr>
              <w:t>7,8417</w:t>
            </w:r>
          </w:p>
        </w:tc>
        <w:tc>
          <w:tcPr>
            <w:tcW w:w="2268" w:type="dxa"/>
            <w:tcBorders>
              <w:top w:val="nil"/>
              <w:left w:val="nil"/>
              <w:bottom w:val="single" w:sz="4" w:space="0" w:color="auto"/>
              <w:right w:val="single" w:sz="4" w:space="0" w:color="auto"/>
            </w:tcBorders>
            <w:noWrap/>
            <w:vAlign w:val="center"/>
            <w:hideMark/>
          </w:tcPr>
          <w:p w14:paraId="02220F3B" w14:textId="77777777" w:rsidR="000B7416" w:rsidRPr="009A7CD7" w:rsidRDefault="000B7416" w:rsidP="000B7416">
            <w:pPr>
              <w:jc w:val="center"/>
              <w:rPr>
                <w:color w:val="000000"/>
                <w:sz w:val="22"/>
                <w:szCs w:val="22"/>
              </w:rPr>
            </w:pPr>
            <w:r w:rsidRPr="009A7CD7">
              <w:rPr>
                <w:color w:val="000000"/>
                <w:sz w:val="22"/>
                <w:szCs w:val="22"/>
              </w:rPr>
              <w:t>5,8292</w:t>
            </w:r>
          </w:p>
        </w:tc>
        <w:tc>
          <w:tcPr>
            <w:tcW w:w="2835" w:type="dxa"/>
            <w:tcBorders>
              <w:top w:val="nil"/>
              <w:left w:val="nil"/>
              <w:bottom w:val="single" w:sz="4" w:space="0" w:color="auto"/>
              <w:right w:val="single" w:sz="4" w:space="0" w:color="auto"/>
            </w:tcBorders>
            <w:noWrap/>
            <w:vAlign w:val="center"/>
            <w:hideMark/>
          </w:tcPr>
          <w:p w14:paraId="6FAF0433" w14:textId="77777777" w:rsidR="000B7416" w:rsidRPr="009A7CD7" w:rsidRDefault="000B7416" w:rsidP="006E1DA8">
            <w:pPr>
              <w:jc w:val="center"/>
              <w:rPr>
                <w:color w:val="000000"/>
                <w:sz w:val="22"/>
                <w:szCs w:val="22"/>
              </w:rPr>
            </w:pPr>
            <w:r w:rsidRPr="009A7CD7">
              <w:rPr>
                <w:color w:val="000000"/>
                <w:sz w:val="22"/>
                <w:szCs w:val="22"/>
              </w:rPr>
              <w:t>18.094.875</w:t>
            </w:r>
          </w:p>
        </w:tc>
      </w:tr>
      <w:tr w:rsidR="000B7416" w:rsidRPr="009A7CD7" w14:paraId="34964EA0" w14:textId="77777777" w:rsidTr="00D010A1">
        <w:trPr>
          <w:trHeight w:val="310"/>
          <w:jc w:val="center"/>
        </w:trPr>
        <w:tc>
          <w:tcPr>
            <w:tcW w:w="2830" w:type="dxa"/>
            <w:tcBorders>
              <w:top w:val="nil"/>
              <w:left w:val="single" w:sz="4" w:space="0" w:color="auto"/>
              <w:bottom w:val="single" w:sz="4" w:space="0" w:color="auto"/>
              <w:right w:val="single" w:sz="4" w:space="0" w:color="auto"/>
            </w:tcBorders>
            <w:noWrap/>
            <w:vAlign w:val="bottom"/>
            <w:hideMark/>
          </w:tcPr>
          <w:p w14:paraId="64A0C3B5" w14:textId="77777777" w:rsidR="000B7416" w:rsidRPr="009A7CD7" w:rsidRDefault="000B7416" w:rsidP="000B7416">
            <w:pPr>
              <w:rPr>
                <w:color w:val="000000"/>
                <w:sz w:val="22"/>
                <w:szCs w:val="22"/>
              </w:rPr>
            </w:pPr>
            <w:r w:rsidRPr="009A7CD7">
              <w:rPr>
                <w:color w:val="000000"/>
                <w:sz w:val="22"/>
                <w:szCs w:val="22"/>
              </w:rPr>
              <w:t>Friuli-Venezia Giulia</w:t>
            </w:r>
          </w:p>
        </w:tc>
        <w:tc>
          <w:tcPr>
            <w:tcW w:w="2127" w:type="dxa"/>
            <w:tcBorders>
              <w:top w:val="nil"/>
              <w:left w:val="nil"/>
              <w:bottom w:val="single" w:sz="4" w:space="0" w:color="auto"/>
              <w:right w:val="single" w:sz="4" w:space="0" w:color="auto"/>
            </w:tcBorders>
            <w:noWrap/>
            <w:vAlign w:val="center"/>
            <w:hideMark/>
          </w:tcPr>
          <w:p w14:paraId="0680E25B" w14:textId="77777777" w:rsidR="000B7416" w:rsidRPr="009A7CD7" w:rsidRDefault="000B7416" w:rsidP="000B7416">
            <w:pPr>
              <w:jc w:val="center"/>
              <w:rPr>
                <w:color w:val="000000"/>
                <w:sz w:val="22"/>
                <w:szCs w:val="22"/>
              </w:rPr>
            </w:pPr>
            <w:r w:rsidRPr="009A7CD7">
              <w:rPr>
                <w:color w:val="000000"/>
                <w:sz w:val="22"/>
                <w:szCs w:val="22"/>
              </w:rPr>
              <w:t>2,3505</w:t>
            </w:r>
          </w:p>
        </w:tc>
        <w:tc>
          <w:tcPr>
            <w:tcW w:w="2268" w:type="dxa"/>
            <w:tcBorders>
              <w:top w:val="nil"/>
              <w:left w:val="nil"/>
              <w:bottom w:val="single" w:sz="4" w:space="0" w:color="auto"/>
              <w:right w:val="single" w:sz="4" w:space="0" w:color="auto"/>
            </w:tcBorders>
            <w:noWrap/>
            <w:vAlign w:val="center"/>
            <w:hideMark/>
          </w:tcPr>
          <w:p w14:paraId="19786A3E" w14:textId="77777777" w:rsidR="000B7416" w:rsidRPr="009A7CD7" w:rsidRDefault="000B7416" w:rsidP="000B7416">
            <w:pPr>
              <w:jc w:val="center"/>
              <w:rPr>
                <w:color w:val="000000"/>
                <w:sz w:val="22"/>
                <w:szCs w:val="22"/>
              </w:rPr>
            </w:pPr>
            <w:r w:rsidRPr="009A7CD7">
              <w:rPr>
                <w:color w:val="000000"/>
                <w:sz w:val="22"/>
                <w:szCs w:val="22"/>
              </w:rPr>
              <w:t>1,8274</w:t>
            </w:r>
          </w:p>
        </w:tc>
        <w:tc>
          <w:tcPr>
            <w:tcW w:w="2835" w:type="dxa"/>
            <w:tcBorders>
              <w:top w:val="nil"/>
              <w:left w:val="nil"/>
              <w:bottom w:val="single" w:sz="4" w:space="0" w:color="auto"/>
              <w:right w:val="single" w:sz="4" w:space="0" w:color="auto"/>
            </w:tcBorders>
            <w:noWrap/>
            <w:vAlign w:val="center"/>
            <w:hideMark/>
          </w:tcPr>
          <w:p w14:paraId="3B90944E" w14:textId="77777777" w:rsidR="000B7416" w:rsidRPr="009A7CD7" w:rsidRDefault="000B7416" w:rsidP="006E1DA8">
            <w:pPr>
              <w:jc w:val="center"/>
              <w:rPr>
                <w:color w:val="000000"/>
                <w:sz w:val="22"/>
                <w:szCs w:val="22"/>
              </w:rPr>
            </w:pPr>
            <w:r w:rsidRPr="009A7CD7">
              <w:rPr>
                <w:color w:val="000000"/>
                <w:sz w:val="22"/>
                <w:szCs w:val="22"/>
              </w:rPr>
              <w:t>5.483.925</w:t>
            </w:r>
          </w:p>
        </w:tc>
      </w:tr>
      <w:tr w:rsidR="000B7416" w:rsidRPr="009A7CD7" w14:paraId="2FE6F21B" w14:textId="77777777" w:rsidTr="00D010A1">
        <w:trPr>
          <w:trHeight w:val="310"/>
          <w:jc w:val="center"/>
        </w:trPr>
        <w:tc>
          <w:tcPr>
            <w:tcW w:w="2830" w:type="dxa"/>
            <w:tcBorders>
              <w:top w:val="nil"/>
              <w:left w:val="single" w:sz="4" w:space="0" w:color="auto"/>
              <w:bottom w:val="single" w:sz="4" w:space="0" w:color="auto"/>
              <w:right w:val="single" w:sz="4" w:space="0" w:color="auto"/>
            </w:tcBorders>
            <w:noWrap/>
            <w:vAlign w:val="bottom"/>
            <w:hideMark/>
          </w:tcPr>
          <w:p w14:paraId="0553253F" w14:textId="77777777" w:rsidR="000B7416" w:rsidRPr="009A7CD7" w:rsidRDefault="000B7416" w:rsidP="000B7416">
            <w:pPr>
              <w:rPr>
                <w:color w:val="000000"/>
                <w:sz w:val="22"/>
                <w:szCs w:val="22"/>
              </w:rPr>
            </w:pPr>
            <w:r w:rsidRPr="009A7CD7">
              <w:rPr>
                <w:color w:val="000000"/>
                <w:sz w:val="22"/>
                <w:szCs w:val="22"/>
              </w:rPr>
              <w:t>Lazio</w:t>
            </w:r>
          </w:p>
        </w:tc>
        <w:tc>
          <w:tcPr>
            <w:tcW w:w="2127" w:type="dxa"/>
            <w:tcBorders>
              <w:top w:val="nil"/>
              <w:left w:val="nil"/>
              <w:bottom w:val="single" w:sz="4" w:space="0" w:color="auto"/>
              <w:right w:val="single" w:sz="4" w:space="0" w:color="auto"/>
            </w:tcBorders>
            <w:noWrap/>
            <w:vAlign w:val="center"/>
            <w:hideMark/>
          </w:tcPr>
          <w:p w14:paraId="61C8A28C" w14:textId="77777777" w:rsidR="000B7416" w:rsidRPr="009A7CD7" w:rsidRDefault="000B7416" w:rsidP="000B7416">
            <w:pPr>
              <w:jc w:val="center"/>
              <w:rPr>
                <w:color w:val="000000"/>
                <w:sz w:val="22"/>
                <w:szCs w:val="22"/>
              </w:rPr>
            </w:pPr>
            <w:r w:rsidRPr="009A7CD7">
              <w:rPr>
                <w:color w:val="000000"/>
                <w:sz w:val="22"/>
                <w:szCs w:val="22"/>
              </w:rPr>
              <w:t>9,4276</w:t>
            </w:r>
          </w:p>
        </w:tc>
        <w:tc>
          <w:tcPr>
            <w:tcW w:w="2268" w:type="dxa"/>
            <w:tcBorders>
              <w:top w:val="nil"/>
              <w:left w:val="nil"/>
              <w:bottom w:val="single" w:sz="4" w:space="0" w:color="auto"/>
              <w:right w:val="single" w:sz="4" w:space="0" w:color="auto"/>
            </w:tcBorders>
            <w:noWrap/>
            <w:vAlign w:val="center"/>
            <w:hideMark/>
          </w:tcPr>
          <w:p w14:paraId="6910CBB2" w14:textId="77777777" w:rsidR="000B7416" w:rsidRPr="009A7CD7" w:rsidRDefault="000B7416" w:rsidP="000B7416">
            <w:pPr>
              <w:jc w:val="center"/>
              <w:rPr>
                <w:color w:val="000000"/>
                <w:sz w:val="22"/>
                <w:szCs w:val="22"/>
              </w:rPr>
            </w:pPr>
            <w:r w:rsidRPr="009A7CD7">
              <w:rPr>
                <w:color w:val="000000"/>
                <w:sz w:val="22"/>
                <w:szCs w:val="22"/>
              </w:rPr>
              <w:t>11,2581</w:t>
            </w:r>
          </w:p>
        </w:tc>
        <w:tc>
          <w:tcPr>
            <w:tcW w:w="2835" w:type="dxa"/>
            <w:tcBorders>
              <w:top w:val="nil"/>
              <w:left w:val="nil"/>
              <w:bottom w:val="single" w:sz="4" w:space="0" w:color="auto"/>
              <w:right w:val="single" w:sz="4" w:space="0" w:color="auto"/>
            </w:tcBorders>
            <w:noWrap/>
            <w:vAlign w:val="center"/>
            <w:hideMark/>
          </w:tcPr>
          <w:p w14:paraId="446348A6" w14:textId="77777777" w:rsidR="000B7416" w:rsidRPr="009A7CD7" w:rsidRDefault="000B7416" w:rsidP="006E1DA8">
            <w:pPr>
              <w:jc w:val="center"/>
              <w:rPr>
                <w:color w:val="000000"/>
                <w:sz w:val="22"/>
                <w:szCs w:val="22"/>
              </w:rPr>
            </w:pPr>
            <w:r w:rsidRPr="009A7CD7">
              <w:rPr>
                <w:color w:val="000000"/>
                <w:sz w:val="22"/>
                <w:szCs w:val="22"/>
              </w:rPr>
              <w:t>24.941.875</w:t>
            </w:r>
          </w:p>
        </w:tc>
      </w:tr>
      <w:tr w:rsidR="000B7416" w:rsidRPr="009A7CD7" w14:paraId="1B6A2855" w14:textId="77777777" w:rsidTr="00D010A1">
        <w:trPr>
          <w:trHeight w:val="310"/>
          <w:jc w:val="center"/>
        </w:trPr>
        <w:tc>
          <w:tcPr>
            <w:tcW w:w="2830" w:type="dxa"/>
            <w:tcBorders>
              <w:top w:val="nil"/>
              <w:left w:val="single" w:sz="4" w:space="0" w:color="auto"/>
              <w:bottom w:val="single" w:sz="4" w:space="0" w:color="auto"/>
              <w:right w:val="single" w:sz="4" w:space="0" w:color="auto"/>
            </w:tcBorders>
            <w:noWrap/>
            <w:vAlign w:val="bottom"/>
            <w:hideMark/>
          </w:tcPr>
          <w:p w14:paraId="49E2BB91" w14:textId="77777777" w:rsidR="000B7416" w:rsidRPr="009A7CD7" w:rsidRDefault="000B7416" w:rsidP="000B7416">
            <w:pPr>
              <w:rPr>
                <w:color w:val="000000"/>
                <w:sz w:val="22"/>
                <w:szCs w:val="22"/>
              </w:rPr>
            </w:pPr>
            <w:r w:rsidRPr="009A7CD7">
              <w:rPr>
                <w:color w:val="000000"/>
                <w:sz w:val="22"/>
                <w:szCs w:val="22"/>
              </w:rPr>
              <w:t>Liguria</w:t>
            </w:r>
          </w:p>
        </w:tc>
        <w:tc>
          <w:tcPr>
            <w:tcW w:w="2127" w:type="dxa"/>
            <w:tcBorders>
              <w:top w:val="nil"/>
              <w:left w:val="nil"/>
              <w:bottom w:val="single" w:sz="4" w:space="0" w:color="auto"/>
              <w:right w:val="single" w:sz="4" w:space="0" w:color="auto"/>
            </w:tcBorders>
            <w:noWrap/>
            <w:vAlign w:val="center"/>
            <w:hideMark/>
          </w:tcPr>
          <w:p w14:paraId="1A4287A3" w14:textId="77777777" w:rsidR="000B7416" w:rsidRPr="009A7CD7" w:rsidRDefault="000B7416" w:rsidP="000B7416">
            <w:pPr>
              <w:jc w:val="center"/>
              <w:rPr>
                <w:color w:val="000000"/>
                <w:sz w:val="22"/>
                <w:szCs w:val="22"/>
              </w:rPr>
            </w:pPr>
            <w:r w:rsidRPr="009A7CD7">
              <w:rPr>
                <w:color w:val="000000"/>
                <w:sz w:val="22"/>
                <w:szCs w:val="22"/>
              </w:rPr>
              <w:t>3,1638</w:t>
            </w:r>
          </w:p>
        </w:tc>
        <w:tc>
          <w:tcPr>
            <w:tcW w:w="2268" w:type="dxa"/>
            <w:tcBorders>
              <w:top w:val="nil"/>
              <w:left w:val="nil"/>
              <w:bottom w:val="single" w:sz="4" w:space="0" w:color="auto"/>
              <w:right w:val="single" w:sz="4" w:space="0" w:color="auto"/>
            </w:tcBorders>
            <w:noWrap/>
            <w:vAlign w:val="center"/>
            <w:hideMark/>
          </w:tcPr>
          <w:p w14:paraId="055A4984" w14:textId="77777777" w:rsidR="000B7416" w:rsidRPr="009A7CD7" w:rsidRDefault="000B7416" w:rsidP="000B7416">
            <w:pPr>
              <w:jc w:val="center"/>
              <w:rPr>
                <w:color w:val="000000"/>
                <w:sz w:val="22"/>
                <w:szCs w:val="22"/>
              </w:rPr>
            </w:pPr>
            <w:r w:rsidRPr="009A7CD7">
              <w:rPr>
                <w:color w:val="000000"/>
                <w:sz w:val="22"/>
                <w:szCs w:val="22"/>
              </w:rPr>
              <w:t>2,3372</w:t>
            </w:r>
          </w:p>
        </w:tc>
        <w:tc>
          <w:tcPr>
            <w:tcW w:w="2835" w:type="dxa"/>
            <w:tcBorders>
              <w:top w:val="nil"/>
              <w:left w:val="nil"/>
              <w:bottom w:val="single" w:sz="4" w:space="0" w:color="auto"/>
              <w:right w:val="single" w:sz="4" w:space="0" w:color="auto"/>
            </w:tcBorders>
            <w:noWrap/>
            <w:vAlign w:val="center"/>
            <w:hideMark/>
          </w:tcPr>
          <w:p w14:paraId="73C30380" w14:textId="77777777" w:rsidR="000B7416" w:rsidRPr="009A7CD7" w:rsidRDefault="000B7416" w:rsidP="006E1DA8">
            <w:pPr>
              <w:jc w:val="center"/>
              <w:rPr>
                <w:color w:val="000000"/>
                <w:sz w:val="22"/>
                <w:szCs w:val="22"/>
              </w:rPr>
            </w:pPr>
            <w:r w:rsidRPr="009A7CD7">
              <w:rPr>
                <w:color w:val="000000"/>
                <w:sz w:val="22"/>
                <w:szCs w:val="22"/>
              </w:rPr>
              <w:t>7.289.550</w:t>
            </w:r>
          </w:p>
        </w:tc>
      </w:tr>
      <w:tr w:rsidR="000B7416" w:rsidRPr="009A7CD7" w14:paraId="0853F090" w14:textId="77777777" w:rsidTr="00D010A1">
        <w:trPr>
          <w:trHeight w:val="310"/>
          <w:jc w:val="center"/>
        </w:trPr>
        <w:tc>
          <w:tcPr>
            <w:tcW w:w="2830" w:type="dxa"/>
            <w:tcBorders>
              <w:top w:val="nil"/>
              <w:left w:val="single" w:sz="4" w:space="0" w:color="auto"/>
              <w:bottom w:val="single" w:sz="4" w:space="0" w:color="auto"/>
              <w:right w:val="single" w:sz="4" w:space="0" w:color="auto"/>
            </w:tcBorders>
            <w:noWrap/>
            <w:vAlign w:val="bottom"/>
            <w:hideMark/>
          </w:tcPr>
          <w:p w14:paraId="529A0ED5" w14:textId="77777777" w:rsidR="000B7416" w:rsidRPr="009A7CD7" w:rsidRDefault="000B7416" w:rsidP="000B7416">
            <w:pPr>
              <w:rPr>
                <w:color w:val="000000"/>
                <w:sz w:val="22"/>
                <w:szCs w:val="22"/>
              </w:rPr>
            </w:pPr>
            <w:r w:rsidRPr="009A7CD7">
              <w:rPr>
                <w:color w:val="000000"/>
                <w:sz w:val="22"/>
                <w:szCs w:val="22"/>
              </w:rPr>
              <w:t>Lombardia</w:t>
            </w:r>
          </w:p>
        </w:tc>
        <w:tc>
          <w:tcPr>
            <w:tcW w:w="2127" w:type="dxa"/>
            <w:tcBorders>
              <w:top w:val="nil"/>
              <w:left w:val="nil"/>
              <w:bottom w:val="single" w:sz="4" w:space="0" w:color="auto"/>
              <w:right w:val="single" w:sz="4" w:space="0" w:color="auto"/>
            </w:tcBorders>
            <w:noWrap/>
            <w:vAlign w:val="center"/>
            <w:hideMark/>
          </w:tcPr>
          <w:p w14:paraId="7B37E5EE" w14:textId="77777777" w:rsidR="000B7416" w:rsidRPr="009A7CD7" w:rsidRDefault="000B7416" w:rsidP="000B7416">
            <w:pPr>
              <w:jc w:val="center"/>
              <w:rPr>
                <w:color w:val="000000"/>
                <w:sz w:val="22"/>
                <w:szCs w:val="22"/>
              </w:rPr>
            </w:pPr>
            <w:r w:rsidRPr="009A7CD7">
              <w:rPr>
                <w:color w:val="000000"/>
                <w:sz w:val="22"/>
                <w:szCs w:val="22"/>
              </w:rPr>
              <w:t>16,8501</w:t>
            </w:r>
          </w:p>
        </w:tc>
        <w:tc>
          <w:tcPr>
            <w:tcW w:w="2268" w:type="dxa"/>
            <w:tcBorders>
              <w:top w:val="nil"/>
              <w:left w:val="nil"/>
              <w:bottom w:val="single" w:sz="4" w:space="0" w:color="auto"/>
              <w:right w:val="single" w:sz="4" w:space="0" w:color="auto"/>
            </w:tcBorders>
            <w:noWrap/>
            <w:vAlign w:val="center"/>
            <w:hideMark/>
          </w:tcPr>
          <w:p w14:paraId="2A7CD286" w14:textId="77777777" w:rsidR="000B7416" w:rsidRPr="009A7CD7" w:rsidRDefault="000B7416" w:rsidP="000B7416">
            <w:pPr>
              <w:jc w:val="center"/>
              <w:rPr>
                <w:color w:val="000000"/>
                <w:sz w:val="22"/>
                <w:szCs w:val="22"/>
              </w:rPr>
            </w:pPr>
            <w:r w:rsidRPr="009A7CD7">
              <w:rPr>
                <w:color w:val="000000"/>
                <w:sz w:val="22"/>
                <w:szCs w:val="22"/>
              </w:rPr>
              <w:t>13,8392</w:t>
            </w:r>
          </w:p>
        </w:tc>
        <w:tc>
          <w:tcPr>
            <w:tcW w:w="2835" w:type="dxa"/>
            <w:tcBorders>
              <w:top w:val="nil"/>
              <w:left w:val="nil"/>
              <w:bottom w:val="single" w:sz="4" w:space="0" w:color="auto"/>
              <w:right w:val="single" w:sz="4" w:space="0" w:color="auto"/>
            </w:tcBorders>
            <w:noWrap/>
            <w:vAlign w:val="center"/>
            <w:hideMark/>
          </w:tcPr>
          <w:p w14:paraId="11A52A49" w14:textId="77777777" w:rsidR="000B7416" w:rsidRPr="009A7CD7" w:rsidRDefault="000B7416" w:rsidP="006E1DA8">
            <w:pPr>
              <w:jc w:val="center"/>
              <w:rPr>
                <w:color w:val="000000"/>
                <w:sz w:val="22"/>
                <w:szCs w:val="22"/>
              </w:rPr>
            </w:pPr>
            <w:r w:rsidRPr="009A7CD7">
              <w:rPr>
                <w:color w:val="000000"/>
                <w:sz w:val="22"/>
                <w:szCs w:val="22"/>
              </w:rPr>
              <w:t>39.867.075</w:t>
            </w:r>
          </w:p>
        </w:tc>
      </w:tr>
      <w:tr w:rsidR="000B7416" w:rsidRPr="009A7CD7" w14:paraId="2293FFE4" w14:textId="77777777" w:rsidTr="00D010A1">
        <w:trPr>
          <w:trHeight w:val="310"/>
          <w:jc w:val="center"/>
        </w:trPr>
        <w:tc>
          <w:tcPr>
            <w:tcW w:w="2830" w:type="dxa"/>
            <w:tcBorders>
              <w:top w:val="nil"/>
              <w:left w:val="single" w:sz="4" w:space="0" w:color="auto"/>
              <w:bottom w:val="single" w:sz="4" w:space="0" w:color="auto"/>
              <w:right w:val="single" w:sz="4" w:space="0" w:color="auto"/>
            </w:tcBorders>
            <w:noWrap/>
            <w:vAlign w:val="bottom"/>
            <w:hideMark/>
          </w:tcPr>
          <w:p w14:paraId="17408714" w14:textId="77777777" w:rsidR="000B7416" w:rsidRPr="009A7CD7" w:rsidRDefault="000B7416" w:rsidP="000B7416">
            <w:pPr>
              <w:rPr>
                <w:color w:val="000000"/>
                <w:sz w:val="22"/>
                <w:szCs w:val="22"/>
              </w:rPr>
            </w:pPr>
            <w:r w:rsidRPr="009A7CD7">
              <w:rPr>
                <w:color w:val="000000"/>
                <w:sz w:val="22"/>
                <w:szCs w:val="22"/>
              </w:rPr>
              <w:t>Marche</w:t>
            </w:r>
          </w:p>
        </w:tc>
        <w:tc>
          <w:tcPr>
            <w:tcW w:w="2127" w:type="dxa"/>
            <w:tcBorders>
              <w:top w:val="nil"/>
              <w:left w:val="nil"/>
              <w:bottom w:val="single" w:sz="4" w:space="0" w:color="auto"/>
              <w:right w:val="single" w:sz="4" w:space="0" w:color="auto"/>
            </w:tcBorders>
            <w:noWrap/>
            <w:vAlign w:val="center"/>
            <w:hideMark/>
          </w:tcPr>
          <w:p w14:paraId="218AB7AD" w14:textId="77777777" w:rsidR="000B7416" w:rsidRPr="009A7CD7" w:rsidRDefault="000B7416" w:rsidP="000B7416">
            <w:pPr>
              <w:jc w:val="center"/>
              <w:rPr>
                <w:color w:val="000000"/>
                <w:sz w:val="22"/>
                <w:szCs w:val="22"/>
              </w:rPr>
            </w:pPr>
            <w:r w:rsidRPr="009A7CD7">
              <w:rPr>
                <w:color w:val="000000"/>
                <w:sz w:val="22"/>
                <w:szCs w:val="22"/>
              </w:rPr>
              <w:t>2,7753</w:t>
            </w:r>
          </w:p>
        </w:tc>
        <w:tc>
          <w:tcPr>
            <w:tcW w:w="2268" w:type="dxa"/>
            <w:tcBorders>
              <w:top w:val="nil"/>
              <w:left w:val="nil"/>
              <w:bottom w:val="single" w:sz="4" w:space="0" w:color="auto"/>
              <w:right w:val="single" w:sz="4" w:space="0" w:color="auto"/>
            </w:tcBorders>
            <w:noWrap/>
            <w:vAlign w:val="center"/>
            <w:hideMark/>
          </w:tcPr>
          <w:p w14:paraId="61B51E2B" w14:textId="77777777" w:rsidR="000B7416" w:rsidRPr="009A7CD7" w:rsidRDefault="000B7416" w:rsidP="000B7416">
            <w:pPr>
              <w:jc w:val="center"/>
              <w:rPr>
                <w:color w:val="000000"/>
                <w:sz w:val="22"/>
                <w:szCs w:val="22"/>
              </w:rPr>
            </w:pPr>
            <w:r w:rsidRPr="009A7CD7">
              <w:rPr>
                <w:color w:val="000000"/>
                <w:sz w:val="22"/>
                <w:szCs w:val="22"/>
              </w:rPr>
              <w:t>2,9941</w:t>
            </w:r>
          </w:p>
        </w:tc>
        <w:tc>
          <w:tcPr>
            <w:tcW w:w="2835" w:type="dxa"/>
            <w:tcBorders>
              <w:top w:val="nil"/>
              <w:left w:val="nil"/>
              <w:bottom w:val="single" w:sz="4" w:space="0" w:color="auto"/>
              <w:right w:val="single" w:sz="4" w:space="0" w:color="auto"/>
            </w:tcBorders>
            <w:noWrap/>
            <w:vAlign w:val="center"/>
            <w:hideMark/>
          </w:tcPr>
          <w:p w14:paraId="7C534BE8" w14:textId="77777777" w:rsidR="000B7416" w:rsidRPr="009A7CD7" w:rsidRDefault="000B7416" w:rsidP="006E1DA8">
            <w:pPr>
              <w:jc w:val="center"/>
              <w:rPr>
                <w:color w:val="000000"/>
                <w:sz w:val="22"/>
                <w:szCs w:val="22"/>
              </w:rPr>
            </w:pPr>
            <w:r w:rsidRPr="009A7CD7">
              <w:rPr>
                <w:color w:val="000000"/>
                <w:sz w:val="22"/>
                <w:szCs w:val="22"/>
              </w:rPr>
              <w:t>7.102.350</w:t>
            </w:r>
          </w:p>
        </w:tc>
      </w:tr>
      <w:tr w:rsidR="000B7416" w:rsidRPr="009A7CD7" w14:paraId="60AE8AA9" w14:textId="77777777" w:rsidTr="00D010A1">
        <w:trPr>
          <w:trHeight w:val="310"/>
          <w:jc w:val="center"/>
        </w:trPr>
        <w:tc>
          <w:tcPr>
            <w:tcW w:w="2830" w:type="dxa"/>
            <w:tcBorders>
              <w:top w:val="nil"/>
              <w:left w:val="single" w:sz="4" w:space="0" w:color="auto"/>
              <w:bottom w:val="single" w:sz="4" w:space="0" w:color="auto"/>
              <w:right w:val="single" w:sz="4" w:space="0" w:color="auto"/>
            </w:tcBorders>
            <w:noWrap/>
            <w:vAlign w:val="bottom"/>
            <w:hideMark/>
          </w:tcPr>
          <w:p w14:paraId="22CC8401" w14:textId="77777777" w:rsidR="000B7416" w:rsidRPr="009A7CD7" w:rsidRDefault="000B7416" w:rsidP="000B7416">
            <w:pPr>
              <w:rPr>
                <w:color w:val="000000"/>
                <w:sz w:val="22"/>
                <w:szCs w:val="22"/>
              </w:rPr>
            </w:pPr>
            <w:r w:rsidRPr="009A7CD7">
              <w:rPr>
                <w:color w:val="000000"/>
                <w:sz w:val="22"/>
                <w:szCs w:val="22"/>
              </w:rPr>
              <w:t>Molise</w:t>
            </w:r>
          </w:p>
        </w:tc>
        <w:tc>
          <w:tcPr>
            <w:tcW w:w="2127" w:type="dxa"/>
            <w:tcBorders>
              <w:top w:val="nil"/>
              <w:left w:val="nil"/>
              <w:bottom w:val="single" w:sz="4" w:space="0" w:color="auto"/>
              <w:right w:val="single" w:sz="4" w:space="0" w:color="auto"/>
            </w:tcBorders>
            <w:noWrap/>
            <w:vAlign w:val="center"/>
            <w:hideMark/>
          </w:tcPr>
          <w:p w14:paraId="1AF0DA5B" w14:textId="77777777" w:rsidR="000B7416" w:rsidRPr="009A7CD7" w:rsidRDefault="000B7416" w:rsidP="000B7416">
            <w:pPr>
              <w:jc w:val="center"/>
              <w:rPr>
                <w:color w:val="000000"/>
                <w:sz w:val="22"/>
                <w:szCs w:val="22"/>
              </w:rPr>
            </w:pPr>
            <w:r w:rsidRPr="009A7CD7">
              <w:rPr>
                <w:color w:val="000000"/>
                <w:sz w:val="22"/>
                <w:szCs w:val="22"/>
              </w:rPr>
              <w:t>0,5435</w:t>
            </w:r>
          </w:p>
        </w:tc>
        <w:tc>
          <w:tcPr>
            <w:tcW w:w="2268" w:type="dxa"/>
            <w:tcBorders>
              <w:top w:val="nil"/>
              <w:left w:val="nil"/>
              <w:bottom w:val="single" w:sz="4" w:space="0" w:color="auto"/>
              <w:right w:val="single" w:sz="4" w:space="0" w:color="auto"/>
            </w:tcBorders>
            <w:noWrap/>
            <w:vAlign w:val="center"/>
            <w:hideMark/>
          </w:tcPr>
          <w:p w14:paraId="24F58D2F" w14:textId="77777777" w:rsidR="000B7416" w:rsidRPr="009A7CD7" w:rsidRDefault="000B7416" w:rsidP="000B7416">
            <w:pPr>
              <w:jc w:val="center"/>
              <w:rPr>
                <w:color w:val="000000"/>
                <w:sz w:val="22"/>
                <w:szCs w:val="22"/>
              </w:rPr>
            </w:pPr>
            <w:r w:rsidRPr="009A7CD7">
              <w:rPr>
                <w:color w:val="000000"/>
                <w:sz w:val="22"/>
                <w:szCs w:val="22"/>
              </w:rPr>
              <w:t>0,5548</w:t>
            </w:r>
          </w:p>
        </w:tc>
        <w:tc>
          <w:tcPr>
            <w:tcW w:w="2835" w:type="dxa"/>
            <w:tcBorders>
              <w:top w:val="nil"/>
              <w:left w:val="nil"/>
              <w:bottom w:val="single" w:sz="4" w:space="0" w:color="auto"/>
              <w:right w:val="single" w:sz="4" w:space="0" w:color="auto"/>
            </w:tcBorders>
            <w:noWrap/>
            <w:vAlign w:val="center"/>
            <w:hideMark/>
          </w:tcPr>
          <w:p w14:paraId="7B35F96B" w14:textId="77777777" w:rsidR="000B7416" w:rsidRPr="009A7CD7" w:rsidRDefault="000B7416" w:rsidP="006E1DA8">
            <w:pPr>
              <w:jc w:val="center"/>
              <w:rPr>
                <w:color w:val="000000"/>
                <w:sz w:val="22"/>
                <w:szCs w:val="22"/>
              </w:rPr>
            </w:pPr>
            <w:r w:rsidRPr="009A7CD7">
              <w:rPr>
                <w:color w:val="000000"/>
                <w:sz w:val="22"/>
                <w:szCs w:val="22"/>
              </w:rPr>
              <w:t>1.367.225</w:t>
            </w:r>
          </w:p>
        </w:tc>
      </w:tr>
      <w:tr w:rsidR="000B7416" w:rsidRPr="009A7CD7" w14:paraId="11236040" w14:textId="77777777" w:rsidTr="00D010A1">
        <w:trPr>
          <w:trHeight w:val="310"/>
          <w:jc w:val="center"/>
        </w:trPr>
        <w:tc>
          <w:tcPr>
            <w:tcW w:w="2830" w:type="dxa"/>
            <w:tcBorders>
              <w:top w:val="nil"/>
              <w:left w:val="single" w:sz="4" w:space="0" w:color="auto"/>
              <w:bottom w:val="single" w:sz="4" w:space="0" w:color="auto"/>
              <w:right w:val="single" w:sz="4" w:space="0" w:color="auto"/>
            </w:tcBorders>
            <w:noWrap/>
            <w:vAlign w:val="bottom"/>
            <w:hideMark/>
          </w:tcPr>
          <w:p w14:paraId="230A5AED" w14:textId="77777777" w:rsidR="000B7416" w:rsidRPr="009A7CD7" w:rsidRDefault="000B7416" w:rsidP="000B7416">
            <w:pPr>
              <w:rPr>
                <w:color w:val="000000"/>
                <w:sz w:val="22"/>
                <w:szCs w:val="22"/>
              </w:rPr>
            </w:pPr>
            <w:r w:rsidRPr="009A7CD7">
              <w:rPr>
                <w:color w:val="000000"/>
                <w:sz w:val="22"/>
                <w:szCs w:val="22"/>
              </w:rPr>
              <w:t>Piemonte</w:t>
            </w:r>
          </w:p>
        </w:tc>
        <w:tc>
          <w:tcPr>
            <w:tcW w:w="2127" w:type="dxa"/>
            <w:tcBorders>
              <w:top w:val="nil"/>
              <w:left w:val="nil"/>
              <w:bottom w:val="single" w:sz="4" w:space="0" w:color="auto"/>
              <w:right w:val="single" w:sz="4" w:space="0" w:color="auto"/>
            </w:tcBorders>
            <w:noWrap/>
            <w:vAlign w:val="center"/>
            <w:hideMark/>
          </w:tcPr>
          <w:p w14:paraId="5F4EEE4B" w14:textId="77777777" w:rsidR="000B7416" w:rsidRPr="009A7CD7" w:rsidRDefault="000B7416" w:rsidP="000B7416">
            <w:pPr>
              <w:jc w:val="center"/>
              <w:rPr>
                <w:color w:val="000000"/>
                <w:sz w:val="22"/>
                <w:szCs w:val="22"/>
              </w:rPr>
            </w:pPr>
            <w:r w:rsidRPr="009A7CD7">
              <w:rPr>
                <w:color w:val="000000"/>
                <w:sz w:val="22"/>
                <w:szCs w:val="22"/>
              </w:rPr>
              <w:t>8,1105</w:t>
            </w:r>
          </w:p>
        </w:tc>
        <w:tc>
          <w:tcPr>
            <w:tcW w:w="2268" w:type="dxa"/>
            <w:tcBorders>
              <w:top w:val="nil"/>
              <w:left w:val="nil"/>
              <w:bottom w:val="single" w:sz="4" w:space="0" w:color="auto"/>
              <w:right w:val="single" w:sz="4" w:space="0" w:color="auto"/>
            </w:tcBorders>
            <w:noWrap/>
            <w:vAlign w:val="center"/>
            <w:hideMark/>
          </w:tcPr>
          <w:p w14:paraId="721895ED" w14:textId="77777777" w:rsidR="000B7416" w:rsidRPr="009A7CD7" w:rsidRDefault="000B7416" w:rsidP="000B7416">
            <w:pPr>
              <w:jc w:val="center"/>
              <w:rPr>
                <w:color w:val="000000"/>
                <w:sz w:val="22"/>
                <w:szCs w:val="22"/>
              </w:rPr>
            </w:pPr>
            <w:r w:rsidRPr="009A7CD7">
              <w:rPr>
                <w:color w:val="000000"/>
                <w:sz w:val="22"/>
                <w:szCs w:val="22"/>
              </w:rPr>
              <w:t>5,3370</w:t>
            </w:r>
          </w:p>
        </w:tc>
        <w:tc>
          <w:tcPr>
            <w:tcW w:w="2835" w:type="dxa"/>
            <w:tcBorders>
              <w:top w:val="nil"/>
              <w:left w:val="nil"/>
              <w:bottom w:val="single" w:sz="4" w:space="0" w:color="auto"/>
              <w:right w:val="single" w:sz="4" w:space="0" w:color="auto"/>
            </w:tcBorders>
            <w:noWrap/>
            <w:vAlign w:val="center"/>
            <w:hideMark/>
          </w:tcPr>
          <w:p w14:paraId="343C8768" w14:textId="77777777" w:rsidR="000B7416" w:rsidRPr="009A7CD7" w:rsidRDefault="000B7416" w:rsidP="006E1DA8">
            <w:pPr>
              <w:jc w:val="center"/>
              <w:rPr>
                <w:color w:val="000000"/>
                <w:sz w:val="22"/>
                <w:szCs w:val="22"/>
              </w:rPr>
            </w:pPr>
            <w:r w:rsidRPr="009A7CD7">
              <w:rPr>
                <w:color w:val="000000"/>
                <w:sz w:val="22"/>
                <w:szCs w:val="22"/>
              </w:rPr>
              <w:t>18.196.125</w:t>
            </w:r>
          </w:p>
        </w:tc>
      </w:tr>
      <w:tr w:rsidR="000B7416" w:rsidRPr="009A7CD7" w14:paraId="73B73F22" w14:textId="77777777" w:rsidTr="00D010A1">
        <w:trPr>
          <w:trHeight w:val="310"/>
          <w:jc w:val="center"/>
        </w:trPr>
        <w:tc>
          <w:tcPr>
            <w:tcW w:w="2830" w:type="dxa"/>
            <w:tcBorders>
              <w:top w:val="nil"/>
              <w:left w:val="single" w:sz="4" w:space="0" w:color="auto"/>
              <w:bottom w:val="single" w:sz="4" w:space="0" w:color="auto"/>
              <w:right w:val="single" w:sz="4" w:space="0" w:color="auto"/>
            </w:tcBorders>
            <w:noWrap/>
            <w:vAlign w:val="bottom"/>
            <w:hideMark/>
          </w:tcPr>
          <w:p w14:paraId="153024F6" w14:textId="77777777" w:rsidR="000B7416" w:rsidRPr="009A7CD7" w:rsidRDefault="000B7416" w:rsidP="000B7416">
            <w:pPr>
              <w:rPr>
                <w:color w:val="000000"/>
                <w:sz w:val="22"/>
                <w:szCs w:val="22"/>
              </w:rPr>
            </w:pPr>
            <w:r w:rsidRPr="009A7CD7">
              <w:rPr>
                <w:color w:val="000000"/>
                <w:sz w:val="22"/>
                <w:szCs w:val="22"/>
              </w:rPr>
              <w:t>Puglia</w:t>
            </w:r>
          </w:p>
        </w:tc>
        <w:tc>
          <w:tcPr>
            <w:tcW w:w="2127" w:type="dxa"/>
            <w:tcBorders>
              <w:top w:val="nil"/>
              <w:left w:val="nil"/>
              <w:bottom w:val="single" w:sz="4" w:space="0" w:color="auto"/>
              <w:right w:val="single" w:sz="4" w:space="0" w:color="auto"/>
            </w:tcBorders>
            <w:noWrap/>
            <w:vAlign w:val="center"/>
            <w:hideMark/>
          </w:tcPr>
          <w:p w14:paraId="73069D33" w14:textId="77777777" w:rsidR="000B7416" w:rsidRPr="009A7CD7" w:rsidRDefault="000B7416" w:rsidP="000B7416">
            <w:pPr>
              <w:jc w:val="center"/>
              <w:rPr>
                <w:color w:val="000000"/>
                <w:sz w:val="22"/>
                <w:szCs w:val="22"/>
              </w:rPr>
            </w:pPr>
            <w:r w:rsidRPr="009A7CD7">
              <w:rPr>
                <w:color w:val="000000"/>
                <w:sz w:val="22"/>
                <w:szCs w:val="22"/>
              </w:rPr>
              <w:t>6,6434</w:t>
            </w:r>
          </w:p>
        </w:tc>
        <w:tc>
          <w:tcPr>
            <w:tcW w:w="2268" w:type="dxa"/>
            <w:tcBorders>
              <w:top w:val="nil"/>
              <w:left w:val="nil"/>
              <w:bottom w:val="single" w:sz="4" w:space="0" w:color="auto"/>
              <w:right w:val="single" w:sz="4" w:space="0" w:color="auto"/>
            </w:tcBorders>
            <w:noWrap/>
            <w:vAlign w:val="center"/>
            <w:hideMark/>
          </w:tcPr>
          <w:p w14:paraId="5FC99155" w14:textId="77777777" w:rsidR="000B7416" w:rsidRPr="009A7CD7" w:rsidRDefault="000B7416" w:rsidP="000B7416">
            <w:pPr>
              <w:jc w:val="center"/>
              <w:rPr>
                <w:color w:val="000000"/>
                <w:sz w:val="22"/>
                <w:szCs w:val="22"/>
              </w:rPr>
            </w:pPr>
            <w:r w:rsidRPr="009A7CD7">
              <w:rPr>
                <w:color w:val="000000"/>
                <w:sz w:val="22"/>
                <w:szCs w:val="22"/>
              </w:rPr>
              <w:t>9,9650</w:t>
            </w:r>
          </w:p>
        </w:tc>
        <w:tc>
          <w:tcPr>
            <w:tcW w:w="2835" w:type="dxa"/>
            <w:tcBorders>
              <w:top w:val="nil"/>
              <w:left w:val="nil"/>
              <w:bottom w:val="single" w:sz="4" w:space="0" w:color="auto"/>
              <w:right w:val="single" w:sz="4" w:space="0" w:color="auto"/>
            </w:tcBorders>
            <w:noWrap/>
            <w:vAlign w:val="center"/>
            <w:hideMark/>
          </w:tcPr>
          <w:p w14:paraId="52D9419E" w14:textId="77777777" w:rsidR="000B7416" w:rsidRPr="009A7CD7" w:rsidRDefault="000B7416" w:rsidP="006E1DA8">
            <w:pPr>
              <w:jc w:val="center"/>
              <w:rPr>
                <w:color w:val="000000"/>
                <w:sz w:val="22"/>
                <w:szCs w:val="22"/>
              </w:rPr>
            </w:pPr>
            <w:r w:rsidRPr="009A7CD7">
              <w:rPr>
                <w:color w:val="000000"/>
                <w:sz w:val="22"/>
                <w:szCs w:val="22"/>
              </w:rPr>
              <w:t>19.099.700</w:t>
            </w:r>
          </w:p>
        </w:tc>
      </w:tr>
      <w:tr w:rsidR="000B7416" w:rsidRPr="009A7CD7" w14:paraId="25AF7118" w14:textId="77777777" w:rsidTr="00D010A1">
        <w:trPr>
          <w:trHeight w:val="310"/>
          <w:jc w:val="center"/>
        </w:trPr>
        <w:tc>
          <w:tcPr>
            <w:tcW w:w="2830" w:type="dxa"/>
            <w:tcBorders>
              <w:top w:val="nil"/>
              <w:left w:val="single" w:sz="4" w:space="0" w:color="auto"/>
              <w:bottom w:val="single" w:sz="4" w:space="0" w:color="auto"/>
              <w:right w:val="single" w:sz="4" w:space="0" w:color="auto"/>
            </w:tcBorders>
            <w:noWrap/>
            <w:vAlign w:val="bottom"/>
            <w:hideMark/>
          </w:tcPr>
          <w:p w14:paraId="57FDFB67" w14:textId="77777777" w:rsidR="000B7416" w:rsidRPr="009A7CD7" w:rsidRDefault="000B7416" w:rsidP="000B7416">
            <w:pPr>
              <w:rPr>
                <w:color w:val="000000"/>
                <w:sz w:val="22"/>
                <w:szCs w:val="22"/>
              </w:rPr>
            </w:pPr>
            <w:r w:rsidRPr="009A7CD7">
              <w:rPr>
                <w:color w:val="000000"/>
                <w:sz w:val="22"/>
                <w:szCs w:val="22"/>
              </w:rPr>
              <w:t>Sardegna</w:t>
            </w:r>
          </w:p>
        </w:tc>
        <w:tc>
          <w:tcPr>
            <w:tcW w:w="2127" w:type="dxa"/>
            <w:tcBorders>
              <w:top w:val="nil"/>
              <w:left w:val="nil"/>
              <w:bottom w:val="single" w:sz="4" w:space="0" w:color="auto"/>
              <w:right w:val="single" w:sz="4" w:space="0" w:color="auto"/>
            </w:tcBorders>
            <w:noWrap/>
            <w:vAlign w:val="center"/>
            <w:hideMark/>
          </w:tcPr>
          <w:p w14:paraId="45A28897" w14:textId="77777777" w:rsidR="000B7416" w:rsidRPr="009A7CD7" w:rsidRDefault="000B7416" w:rsidP="000B7416">
            <w:pPr>
              <w:jc w:val="center"/>
              <w:rPr>
                <w:color w:val="000000"/>
                <w:sz w:val="22"/>
                <w:szCs w:val="22"/>
              </w:rPr>
            </w:pPr>
            <w:r w:rsidRPr="009A7CD7">
              <w:rPr>
                <w:color w:val="000000"/>
                <w:sz w:val="22"/>
                <w:szCs w:val="22"/>
              </w:rPr>
              <w:t>2,9578</w:t>
            </w:r>
          </w:p>
        </w:tc>
        <w:tc>
          <w:tcPr>
            <w:tcW w:w="2268" w:type="dxa"/>
            <w:tcBorders>
              <w:top w:val="nil"/>
              <w:left w:val="nil"/>
              <w:bottom w:val="single" w:sz="4" w:space="0" w:color="auto"/>
              <w:right w:val="single" w:sz="4" w:space="0" w:color="auto"/>
            </w:tcBorders>
            <w:noWrap/>
            <w:vAlign w:val="center"/>
            <w:hideMark/>
          </w:tcPr>
          <w:p w14:paraId="075EF176" w14:textId="77777777" w:rsidR="000B7416" w:rsidRPr="009A7CD7" w:rsidRDefault="000B7416" w:rsidP="000B7416">
            <w:pPr>
              <w:jc w:val="center"/>
              <w:rPr>
                <w:color w:val="000000"/>
                <w:sz w:val="22"/>
                <w:szCs w:val="22"/>
              </w:rPr>
            </w:pPr>
            <w:r w:rsidRPr="009A7CD7">
              <w:rPr>
                <w:color w:val="000000"/>
                <w:sz w:val="22"/>
                <w:szCs w:val="22"/>
              </w:rPr>
              <w:t>3,5740</w:t>
            </w:r>
          </w:p>
        </w:tc>
        <w:tc>
          <w:tcPr>
            <w:tcW w:w="2835" w:type="dxa"/>
            <w:tcBorders>
              <w:top w:val="nil"/>
              <w:left w:val="nil"/>
              <w:bottom w:val="single" w:sz="4" w:space="0" w:color="auto"/>
              <w:right w:val="single" w:sz="4" w:space="0" w:color="auto"/>
            </w:tcBorders>
            <w:noWrap/>
            <w:vAlign w:val="center"/>
            <w:hideMark/>
          </w:tcPr>
          <w:p w14:paraId="6061DEDB" w14:textId="77777777" w:rsidR="000B7416" w:rsidRPr="009A7CD7" w:rsidRDefault="000B7416" w:rsidP="006E1DA8">
            <w:pPr>
              <w:jc w:val="center"/>
              <w:rPr>
                <w:color w:val="000000"/>
                <w:sz w:val="22"/>
                <w:szCs w:val="22"/>
              </w:rPr>
            </w:pPr>
            <w:r w:rsidRPr="009A7CD7">
              <w:rPr>
                <w:color w:val="000000"/>
                <w:sz w:val="22"/>
                <w:szCs w:val="22"/>
              </w:rPr>
              <w:t>7.856.650</w:t>
            </w:r>
          </w:p>
        </w:tc>
      </w:tr>
      <w:tr w:rsidR="000B7416" w:rsidRPr="009A7CD7" w14:paraId="5ABDC5DC" w14:textId="77777777" w:rsidTr="00D010A1">
        <w:trPr>
          <w:trHeight w:val="310"/>
          <w:jc w:val="center"/>
        </w:trPr>
        <w:tc>
          <w:tcPr>
            <w:tcW w:w="2830" w:type="dxa"/>
            <w:tcBorders>
              <w:top w:val="nil"/>
              <w:left w:val="single" w:sz="4" w:space="0" w:color="auto"/>
              <w:bottom w:val="single" w:sz="4" w:space="0" w:color="auto"/>
              <w:right w:val="single" w:sz="4" w:space="0" w:color="auto"/>
            </w:tcBorders>
            <w:noWrap/>
            <w:vAlign w:val="bottom"/>
            <w:hideMark/>
          </w:tcPr>
          <w:p w14:paraId="56927105" w14:textId="77777777" w:rsidR="000B7416" w:rsidRPr="009A7CD7" w:rsidRDefault="000B7416" w:rsidP="000B7416">
            <w:pPr>
              <w:rPr>
                <w:color w:val="000000"/>
                <w:sz w:val="22"/>
                <w:szCs w:val="22"/>
              </w:rPr>
            </w:pPr>
            <w:r w:rsidRPr="009A7CD7">
              <w:rPr>
                <w:color w:val="000000"/>
                <w:sz w:val="22"/>
                <w:szCs w:val="22"/>
              </w:rPr>
              <w:t>Sicilia</w:t>
            </w:r>
          </w:p>
        </w:tc>
        <w:tc>
          <w:tcPr>
            <w:tcW w:w="2127" w:type="dxa"/>
            <w:tcBorders>
              <w:top w:val="nil"/>
              <w:left w:val="nil"/>
              <w:bottom w:val="single" w:sz="4" w:space="0" w:color="auto"/>
              <w:right w:val="single" w:sz="4" w:space="0" w:color="auto"/>
            </w:tcBorders>
            <w:noWrap/>
            <w:vAlign w:val="center"/>
            <w:hideMark/>
          </w:tcPr>
          <w:p w14:paraId="4B06BBB6" w14:textId="77777777" w:rsidR="000B7416" w:rsidRPr="009A7CD7" w:rsidRDefault="000B7416" w:rsidP="000B7416">
            <w:pPr>
              <w:jc w:val="center"/>
              <w:rPr>
                <w:color w:val="000000"/>
                <w:sz w:val="22"/>
                <w:szCs w:val="22"/>
              </w:rPr>
            </w:pPr>
            <w:r w:rsidRPr="009A7CD7">
              <w:rPr>
                <w:color w:val="000000"/>
                <w:sz w:val="22"/>
                <w:szCs w:val="22"/>
              </w:rPr>
              <w:t>7,7353</w:t>
            </w:r>
          </w:p>
        </w:tc>
        <w:tc>
          <w:tcPr>
            <w:tcW w:w="2268" w:type="dxa"/>
            <w:tcBorders>
              <w:top w:val="nil"/>
              <w:left w:val="nil"/>
              <w:bottom w:val="single" w:sz="4" w:space="0" w:color="auto"/>
              <w:right w:val="single" w:sz="4" w:space="0" w:color="auto"/>
            </w:tcBorders>
            <w:noWrap/>
            <w:vAlign w:val="center"/>
            <w:hideMark/>
          </w:tcPr>
          <w:p w14:paraId="5C5C085C" w14:textId="77777777" w:rsidR="000B7416" w:rsidRPr="009A7CD7" w:rsidRDefault="000B7416" w:rsidP="000B7416">
            <w:pPr>
              <w:jc w:val="center"/>
              <w:rPr>
                <w:color w:val="000000"/>
                <w:sz w:val="22"/>
                <w:szCs w:val="22"/>
              </w:rPr>
            </w:pPr>
            <w:r w:rsidRPr="009A7CD7">
              <w:rPr>
                <w:color w:val="000000"/>
                <w:sz w:val="22"/>
                <w:szCs w:val="22"/>
              </w:rPr>
              <w:t>8,2433</w:t>
            </w:r>
          </w:p>
        </w:tc>
        <w:tc>
          <w:tcPr>
            <w:tcW w:w="2835" w:type="dxa"/>
            <w:tcBorders>
              <w:top w:val="nil"/>
              <w:left w:val="nil"/>
              <w:bottom w:val="single" w:sz="4" w:space="0" w:color="auto"/>
              <w:right w:val="single" w:sz="4" w:space="0" w:color="auto"/>
            </w:tcBorders>
            <w:noWrap/>
            <w:vAlign w:val="center"/>
            <w:hideMark/>
          </w:tcPr>
          <w:p w14:paraId="51B9AA0E" w14:textId="77777777" w:rsidR="000B7416" w:rsidRPr="009A7CD7" w:rsidRDefault="000B7416" w:rsidP="006E1DA8">
            <w:pPr>
              <w:jc w:val="center"/>
              <w:rPr>
                <w:color w:val="000000"/>
                <w:sz w:val="22"/>
                <w:szCs w:val="22"/>
              </w:rPr>
            </w:pPr>
            <w:r w:rsidRPr="009A7CD7">
              <w:rPr>
                <w:color w:val="000000"/>
                <w:sz w:val="22"/>
                <w:szCs w:val="22"/>
              </w:rPr>
              <w:t>19.719.250</w:t>
            </w:r>
          </w:p>
        </w:tc>
      </w:tr>
      <w:tr w:rsidR="000B7416" w:rsidRPr="009A7CD7" w14:paraId="40379158" w14:textId="77777777" w:rsidTr="00D010A1">
        <w:trPr>
          <w:trHeight w:val="310"/>
          <w:jc w:val="center"/>
        </w:trPr>
        <w:tc>
          <w:tcPr>
            <w:tcW w:w="2830" w:type="dxa"/>
            <w:tcBorders>
              <w:top w:val="nil"/>
              <w:left w:val="single" w:sz="4" w:space="0" w:color="auto"/>
              <w:bottom w:val="single" w:sz="4" w:space="0" w:color="auto"/>
              <w:right w:val="single" w:sz="4" w:space="0" w:color="auto"/>
            </w:tcBorders>
            <w:noWrap/>
            <w:vAlign w:val="bottom"/>
            <w:hideMark/>
          </w:tcPr>
          <w:p w14:paraId="3D5C5C8B" w14:textId="77777777" w:rsidR="000B7416" w:rsidRPr="009A7CD7" w:rsidRDefault="000B7416" w:rsidP="000B7416">
            <w:pPr>
              <w:rPr>
                <w:color w:val="000000"/>
                <w:sz w:val="22"/>
                <w:szCs w:val="22"/>
              </w:rPr>
            </w:pPr>
            <w:r w:rsidRPr="009A7CD7">
              <w:rPr>
                <w:color w:val="000000"/>
                <w:sz w:val="22"/>
                <w:szCs w:val="22"/>
              </w:rPr>
              <w:t>Toscana</w:t>
            </w:r>
          </w:p>
        </w:tc>
        <w:tc>
          <w:tcPr>
            <w:tcW w:w="2127" w:type="dxa"/>
            <w:tcBorders>
              <w:top w:val="nil"/>
              <w:left w:val="nil"/>
              <w:bottom w:val="single" w:sz="4" w:space="0" w:color="auto"/>
              <w:right w:val="single" w:sz="4" w:space="0" w:color="auto"/>
            </w:tcBorders>
            <w:noWrap/>
            <w:vAlign w:val="center"/>
            <w:hideMark/>
          </w:tcPr>
          <w:p w14:paraId="1B570F40" w14:textId="77777777" w:rsidR="000B7416" w:rsidRPr="009A7CD7" w:rsidRDefault="000B7416" w:rsidP="000B7416">
            <w:pPr>
              <w:jc w:val="center"/>
              <w:rPr>
                <w:color w:val="000000"/>
                <w:sz w:val="22"/>
                <w:szCs w:val="22"/>
              </w:rPr>
            </w:pPr>
            <w:r w:rsidRPr="009A7CD7">
              <w:rPr>
                <w:color w:val="000000"/>
                <w:sz w:val="22"/>
                <w:szCs w:val="22"/>
              </w:rPr>
              <w:t>6,9709</w:t>
            </w:r>
          </w:p>
        </w:tc>
        <w:tc>
          <w:tcPr>
            <w:tcW w:w="2268" w:type="dxa"/>
            <w:tcBorders>
              <w:top w:val="nil"/>
              <w:left w:val="nil"/>
              <w:bottom w:val="single" w:sz="4" w:space="0" w:color="auto"/>
              <w:right w:val="single" w:sz="4" w:space="0" w:color="auto"/>
            </w:tcBorders>
            <w:noWrap/>
            <w:vAlign w:val="center"/>
            <w:hideMark/>
          </w:tcPr>
          <w:p w14:paraId="75F0BA0D" w14:textId="77777777" w:rsidR="000B7416" w:rsidRPr="009A7CD7" w:rsidRDefault="000B7416" w:rsidP="000B7416">
            <w:pPr>
              <w:jc w:val="center"/>
              <w:rPr>
                <w:color w:val="000000"/>
                <w:sz w:val="22"/>
                <w:szCs w:val="22"/>
              </w:rPr>
            </w:pPr>
            <w:r w:rsidRPr="009A7CD7">
              <w:rPr>
                <w:color w:val="000000"/>
                <w:sz w:val="22"/>
                <w:szCs w:val="22"/>
              </w:rPr>
              <w:t>5,1676</w:t>
            </w:r>
          </w:p>
        </w:tc>
        <w:tc>
          <w:tcPr>
            <w:tcW w:w="2835" w:type="dxa"/>
            <w:tcBorders>
              <w:top w:val="nil"/>
              <w:left w:val="nil"/>
              <w:bottom w:val="single" w:sz="4" w:space="0" w:color="auto"/>
              <w:right w:val="single" w:sz="4" w:space="0" w:color="auto"/>
            </w:tcBorders>
            <w:noWrap/>
            <w:vAlign w:val="center"/>
            <w:hideMark/>
          </w:tcPr>
          <w:p w14:paraId="2F1E8095" w14:textId="77777777" w:rsidR="000B7416" w:rsidRPr="009A7CD7" w:rsidRDefault="000B7416" w:rsidP="006E1DA8">
            <w:pPr>
              <w:jc w:val="center"/>
              <w:rPr>
                <w:color w:val="000000"/>
                <w:sz w:val="22"/>
                <w:szCs w:val="22"/>
              </w:rPr>
            </w:pPr>
            <w:r w:rsidRPr="009A7CD7">
              <w:rPr>
                <w:color w:val="000000"/>
                <w:sz w:val="22"/>
                <w:szCs w:val="22"/>
              </w:rPr>
              <w:t>16.074.775</w:t>
            </w:r>
          </w:p>
        </w:tc>
      </w:tr>
      <w:tr w:rsidR="000B7416" w:rsidRPr="009A7CD7" w14:paraId="62A80D14" w14:textId="77777777" w:rsidTr="00D010A1">
        <w:trPr>
          <w:trHeight w:val="310"/>
          <w:jc w:val="center"/>
        </w:trPr>
        <w:tc>
          <w:tcPr>
            <w:tcW w:w="2830" w:type="dxa"/>
            <w:tcBorders>
              <w:top w:val="nil"/>
              <w:left w:val="single" w:sz="4" w:space="0" w:color="auto"/>
              <w:bottom w:val="single" w:sz="4" w:space="0" w:color="auto"/>
              <w:right w:val="single" w:sz="4" w:space="0" w:color="auto"/>
            </w:tcBorders>
            <w:noWrap/>
            <w:vAlign w:val="bottom"/>
            <w:hideMark/>
          </w:tcPr>
          <w:p w14:paraId="2ECFC62B" w14:textId="77777777" w:rsidR="000B7416" w:rsidRPr="009A7CD7" w:rsidRDefault="000B7416" w:rsidP="000B7416">
            <w:pPr>
              <w:rPr>
                <w:color w:val="000000"/>
                <w:sz w:val="22"/>
                <w:szCs w:val="22"/>
              </w:rPr>
            </w:pPr>
            <w:r w:rsidRPr="009A7CD7">
              <w:rPr>
                <w:color w:val="000000"/>
                <w:sz w:val="22"/>
                <w:szCs w:val="22"/>
              </w:rPr>
              <w:t>Umbria</w:t>
            </w:r>
          </w:p>
        </w:tc>
        <w:tc>
          <w:tcPr>
            <w:tcW w:w="2127" w:type="dxa"/>
            <w:tcBorders>
              <w:top w:val="nil"/>
              <w:left w:val="nil"/>
              <w:bottom w:val="single" w:sz="4" w:space="0" w:color="auto"/>
              <w:right w:val="single" w:sz="4" w:space="0" w:color="auto"/>
            </w:tcBorders>
            <w:noWrap/>
            <w:vAlign w:val="center"/>
            <w:hideMark/>
          </w:tcPr>
          <w:p w14:paraId="73F23A5B" w14:textId="77777777" w:rsidR="000B7416" w:rsidRPr="009A7CD7" w:rsidRDefault="000B7416" w:rsidP="000B7416">
            <w:pPr>
              <w:jc w:val="center"/>
              <w:rPr>
                <w:color w:val="000000"/>
                <w:sz w:val="22"/>
                <w:szCs w:val="22"/>
              </w:rPr>
            </w:pPr>
            <w:r w:rsidRPr="009A7CD7">
              <w:rPr>
                <w:color w:val="000000"/>
                <w:sz w:val="22"/>
                <w:szCs w:val="22"/>
              </w:rPr>
              <w:t>1,6616</w:t>
            </w:r>
          </w:p>
        </w:tc>
        <w:tc>
          <w:tcPr>
            <w:tcW w:w="2268" w:type="dxa"/>
            <w:tcBorders>
              <w:top w:val="nil"/>
              <w:left w:val="nil"/>
              <w:bottom w:val="single" w:sz="4" w:space="0" w:color="auto"/>
              <w:right w:val="single" w:sz="4" w:space="0" w:color="auto"/>
            </w:tcBorders>
            <w:noWrap/>
            <w:vAlign w:val="center"/>
            <w:hideMark/>
          </w:tcPr>
          <w:p w14:paraId="2EB5B3FD" w14:textId="77777777" w:rsidR="000B7416" w:rsidRPr="009A7CD7" w:rsidRDefault="000B7416" w:rsidP="000B7416">
            <w:pPr>
              <w:jc w:val="center"/>
              <w:rPr>
                <w:color w:val="000000"/>
                <w:sz w:val="22"/>
                <w:szCs w:val="22"/>
              </w:rPr>
            </w:pPr>
            <w:r w:rsidRPr="009A7CD7">
              <w:rPr>
                <w:color w:val="000000"/>
                <w:sz w:val="22"/>
                <w:szCs w:val="22"/>
              </w:rPr>
              <w:t>2,4781</w:t>
            </w:r>
          </w:p>
        </w:tc>
        <w:tc>
          <w:tcPr>
            <w:tcW w:w="2835" w:type="dxa"/>
            <w:tcBorders>
              <w:top w:val="nil"/>
              <w:left w:val="nil"/>
              <w:bottom w:val="single" w:sz="4" w:space="0" w:color="auto"/>
              <w:right w:val="single" w:sz="4" w:space="0" w:color="auto"/>
            </w:tcBorders>
            <w:noWrap/>
            <w:vAlign w:val="center"/>
            <w:hideMark/>
          </w:tcPr>
          <w:p w14:paraId="0BC6BF5D" w14:textId="77777777" w:rsidR="000B7416" w:rsidRPr="009A7CD7" w:rsidRDefault="000B7416" w:rsidP="006E1DA8">
            <w:pPr>
              <w:jc w:val="center"/>
              <w:rPr>
                <w:color w:val="000000"/>
                <w:sz w:val="22"/>
                <w:szCs w:val="22"/>
              </w:rPr>
            </w:pPr>
            <w:r w:rsidRPr="009A7CD7">
              <w:rPr>
                <w:color w:val="000000"/>
                <w:sz w:val="22"/>
                <w:szCs w:val="22"/>
              </w:rPr>
              <w:t>4.766.375</w:t>
            </w:r>
          </w:p>
        </w:tc>
      </w:tr>
      <w:tr w:rsidR="000B7416" w:rsidRPr="009A7CD7" w14:paraId="1866BD86" w14:textId="77777777" w:rsidTr="00D010A1">
        <w:trPr>
          <w:trHeight w:val="310"/>
          <w:jc w:val="center"/>
        </w:trPr>
        <w:tc>
          <w:tcPr>
            <w:tcW w:w="2830" w:type="dxa"/>
            <w:tcBorders>
              <w:top w:val="nil"/>
              <w:left w:val="single" w:sz="4" w:space="0" w:color="auto"/>
              <w:bottom w:val="single" w:sz="4" w:space="0" w:color="auto"/>
              <w:right w:val="single" w:sz="4" w:space="0" w:color="auto"/>
            </w:tcBorders>
            <w:noWrap/>
            <w:vAlign w:val="bottom"/>
            <w:hideMark/>
          </w:tcPr>
          <w:p w14:paraId="640A9E3E" w14:textId="5818B10B" w:rsidR="000B7416" w:rsidRPr="009A7CD7" w:rsidRDefault="000B7416" w:rsidP="000B7416">
            <w:pPr>
              <w:rPr>
                <w:color w:val="000000"/>
                <w:sz w:val="22"/>
                <w:szCs w:val="22"/>
              </w:rPr>
            </w:pPr>
            <w:r w:rsidRPr="009A7CD7">
              <w:rPr>
                <w:color w:val="000000"/>
                <w:sz w:val="22"/>
                <w:szCs w:val="22"/>
              </w:rPr>
              <w:t>Valle d'Aosta</w:t>
            </w:r>
          </w:p>
        </w:tc>
        <w:tc>
          <w:tcPr>
            <w:tcW w:w="2127" w:type="dxa"/>
            <w:tcBorders>
              <w:top w:val="nil"/>
              <w:left w:val="nil"/>
              <w:bottom w:val="single" w:sz="4" w:space="0" w:color="auto"/>
              <w:right w:val="single" w:sz="4" w:space="0" w:color="auto"/>
            </w:tcBorders>
            <w:noWrap/>
            <w:vAlign w:val="center"/>
            <w:hideMark/>
          </w:tcPr>
          <w:p w14:paraId="06659289" w14:textId="77777777" w:rsidR="000B7416" w:rsidRPr="009A7CD7" w:rsidRDefault="000B7416" w:rsidP="000B7416">
            <w:pPr>
              <w:jc w:val="center"/>
              <w:rPr>
                <w:color w:val="000000"/>
                <w:sz w:val="22"/>
                <w:szCs w:val="22"/>
              </w:rPr>
            </w:pPr>
            <w:r w:rsidRPr="009A7CD7">
              <w:rPr>
                <w:color w:val="000000"/>
                <w:sz w:val="22"/>
                <w:szCs w:val="22"/>
              </w:rPr>
              <w:t>0,2215</w:t>
            </w:r>
          </w:p>
        </w:tc>
        <w:tc>
          <w:tcPr>
            <w:tcW w:w="2268" w:type="dxa"/>
            <w:tcBorders>
              <w:top w:val="nil"/>
              <w:left w:val="nil"/>
              <w:bottom w:val="single" w:sz="4" w:space="0" w:color="auto"/>
              <w:right w:val="single" w:sz="4" w:space="0" w:color="auto"/>
            </w:tcBorders>
            <w:noWrap/>
            <w:vAlign w:val="center"/>
            <w:hideMark/>
          </w:tcPr>
          <w:p w14:paraId="01B3355D" w14:textId="77777777" w:rsidR="000B7416" w:rsidRPr="009A7CD7" w:rsidRDefault="000B7416" w:rsidP="000B7416">
            <w:pPr>
              <w:jc w:val="center"/>
              <w:rPr>
                <w:color w:val="000000"/>
                <w:sz w:val="22"/>
                <w:szCs w:val="22"/>
              </w:rPr>
            </w:pPr>
            <w:r w:rsidRPr="009A7CD7">
              <w:rPr>
                <w:color w:val="000000"/>
                <w:sz w:val="22"/>
                <w:szCs w:val="22"/>
              </w:rPr>
              <w:t>0,1521</w:t>
            </w:r>
          </w:p>
        </w:tc>
        <w:tc>
          <w:tcPr>
            <w:tcW w:w="2835" w:type="dxa"/>
            <w:tcBorders>
              <w:top w:val="nil"/>
              <w:left w:val="nil"/>
              <w:bottom w:val="single" w:sz="4" w:space="0" w:color="auto"/>
              <w:right w:val="single" w:sz="4" w:space="0" w:color="auto"/>
            </w:tcBorders>
            <w:noWrap/>
            <w:vAlign w:val="center"/>
            <w:hideMark/>
          </w:tcPr>
          <w:p w14:paraId="5312EEFA" w14:textId="77777777" w:rsidR="000B7416" w:rsidRPr="009A7CD7" w:rsidRDefault="000B7416" w:rsidP="006E1DA8">
            <w:pPr>
              <w:jc w:val="center"/>
              <w:rPr>
                <w:color w:val="000000"/>
                <w:sz w:val="22"/>
                <w:szCs w:val="22"/>
              </w:rPr>
            </w:pPr>
            <w:r w:rsidRPr="009A7CD7">
              <w:rPr>
                <w:color w:val="000000"/>
                <w:sz w:val="22"/>
                <w:szCs w:val="22"/>
              </w:rPr>
              <w:t>501.700</w:t>
            </w:r>
          </w:p>
        </w:tc>
      </w:tr>
      <w:tr w:rsidR="000B7416" w:rsidRPr="009A7CD7" w14:paraId="506A5F28" w14:textId="77777777" w:rsidTr="00D010A1">
        <w:trPr>
          <w:trHeight w:val="310"/>
          <w:jc w:val="center"/>
        </w:trPr>
        <w:tc>
          <w:tcPr>
            <w:tcW w:w="2830" w:type="dxa"/>
            <w:tcBorders>
              <w:top w:val="nil"/>
              <w:left w:val="single" w:sz="4" w:space="0" w:color="auto"/>
              <w:bottom w:val="single" w:sz="4" w:space="0" w:color="auto"/>
              <w:right w:val="single" w:sz="4" w:space="0" w:color="auto"/>
            </w:tcBorders>
            <w:noWrap/>
            <w:vAlign w:val="bottom"/>
            <w:hideMark/>
          </w:tcPr>
          <w:p w14:paraId="388179D9" w14:textId="77777777" w:rsidR="000B7416" w:rsidRPr="009A7CD7" w:rsidRDefault="000B7416" w:rsidP="000B7416">
            <w:pPr>
              <w:rPr>
                <w:color w:val="000000"/>
                <w:sz w:val="22"/>
                <w:szCs w:val="22"/>
              </w:rPr>
            </w:pPr>
            <w:r w:rsidRPr="009A7CD7">
              <w:rPr>
                <w:color w:val="000000"/>
                <w:sz w:val="22"/>
                <w:szCs w:val="22"/>
              </w:rPr>
              <w:t>Veneto</w:t>
            </w:r>
          </w:p>
        </w:tc>
        <w:tc>
          <w:tcPr>
            <w:tcW w:w="2127" w:type="dxa"/>
            <w:tcBorders>
              <w:top w:val="nil"/>
              <w:left w:val="nil"/>
              <w:bottom w:val="single" w:sz="4" w:space="0" w:color="auto"/>
              <w:right w:val="single" w:sz="4" w:space="0" w:color="auto"/>
            </w:tcBorders>
            <w:noWrap/>
            <w:vAlign w:val="center"/>
            <w:hideMark/>
          </w:tcPr>
          <w:p w14:paraId="5A2C4E33" w14:textId="77777777" w:rsidR="000B7416" w:rsidRPr="009A7CD7" w:rsidRDefault="000B7416" w:rsidP="000B7416">
            <w:pPr>
              <w:jc w:val="center"/>
              <w:rPr>
                <w:color w:val="000000"/>
                <w:sz w:val="22"/>
                <w:szCs w:val="22"/>
              </w:rPr>
            </w:pPr>
            <w:r w:rsidRPr="009A7CD7">
              <w:rPr>
                <w:color w:val="000000"/>
                <w:sz w:val="22"/>
                <w:szCs w:val="22"/>
              </w:rPr>
              <w:t>8,4472</w:t>
            </w:r>
          </w:p>
        </w:tc>
        <w:tc>
          <w:tcPr>
            <w:tcW w:w="2268" w:type="dxa"/>
            <w:tcBorders>
              <w:top w:val="nil"/>
              <w:left w:val="nil"/>
              <w:bottom w:val="single" w:sz="4" w:space="0" w:color="auto"/>
              <w:right w:val="single" w:sz="4" w:space="0" w:color="auto"/>
            </w:tcBorders>
            <w:noWrap/>
            <w:vAlign w:val="center"/>
            <w:hideMark/>
          </w:tcPr>
          <w:p w14:paraId="70C0E898" w14:textId="77777777" w:rsidR="000B7416" w:rsidRPr="009A7CD7" w:rsidRDefault="000B7416" w:rsidP="000B7416">
            <w:pPr>
              <w:jc w:val="center"/>
              <w:rPr>
                <w:color w:val="000000"/>
                <w:sz w:val="22"/>
                <w:szCs w:val="22"/>
              </w:rPr>
            </w:pPr>
            <w:r w:rsidRPr="009A7CD7">
              <w:rPr>
                <w:color w:val="000000"/>
                <w:sz w:val="22"/>
                <w:szCs w:val="22"/>
              </w:rPr>
              <w:t>6,6772</w:t>
            </w:r>
          </w:p>
        </w:tc>
        <w:tc>
          <w:tcPr>
            <w:tcW w:w="2835" w:type="dxa"/>
            <w:tcBorders>
              <w:top w:val="nil"/>
              <w:left w:val="nil"/>
              <w:bottom w:val="single" w:sz="4" w:space="0" w:color="auto"/>
              <w:right w:val="single" w:sz="4" w:space="0" w:color="auto"/>
            </w:tcBorders>
            <w:noWrap/>
            <w:vAlign w:val="center"/>
            <w:hideMark/>
          </w:tcPr>
          <w:p w14:paraId="33A808E7" w14:textId="77777777" w:rsidR="000B7416" w:rsidRPr="009A7CD7" w:rsidRDefault="000B7416" w:rsidP="006E1DA8">
            <w:pPr>
              <w:jc w:val="center"/>
              <w:rPr>
                <w:color w:val="000000"/>
                <w:sz w:val="22"/>
                <w:szCs w:val="22"/>
              </w:rPr>
            </w:pPr>
            <w:r w:rsidRPr="009A7CD7">
              <w:rPr>
                <w:color w:val="000000"/>
                <w:sz w:val="22"/>
                <w:szCs w:val="22"/>
              </w:rPr>
              <w:t>19.790.500</w:t>
            </w:r>
          </w:p>
        </w:tc>
      </w:tr>
      <w:tr w:rsidR="000B7416" w:rsidRPr="009A7CD7" w14:paraId="02D2FC6F" w14:textId="77777777" w:rsidTr="00D010A1">
        <w:trPr>
          <w:trHeight w:val="310"/>
          <w:jc w:val="center"/>
        </w:trPr>
        <w:tc>
          <w:tcPr>
            <w:tcW w:w="2830" w:type="dxa"/>
            <w:tcBorders>
              <w:top w:val="nil"/>
              <w:left w:val="single" w:sz="4" w:space="0" w:color="auto"/>
              <w:bottom w:val="single" w:sz="4" w:space="0" w:color="auto"/>
              <w:right w:val="single" w:sz="4" w:space="0" w:color="auto"/>
            </w:tcBorders>
            <w:noWrap/>
            <w:vAlign w:val="bottom"/>
            <w:hideMark/>
          </w:tcPr>
          <w:p w14:paraId="1BD1682F" w14:textId="77777777" w:rsidR="000B7416" w:rsidRPr="009A7CD7" w:rsidRDefault="000B7416" w:rsidP="00F52C71">
            <w:pPr>
              <w:jc w:val="center"/>
              <w:rPr>
                <w:b/>
                <w:bCs/>
                <w:color w:val="000000"/>
                <w:sz w:val="22"/>
                <w:szCs w:val="22"/>
              </w:rPr>
            </w:pPr>
            <w:r w:rsidRPr="009A7CD7">
              <w:rPr>
                <w:b/>
                <w:bCs/>
                <w:color w:val="000000"/>
                <w:sz w:val="22"/>
                <w:szCs w:val="22"/>
              </w:rPr>
              <w:t>Totale</w:t>
            </w:r>
          </w:p>
        </w:tc>
        <w:tc>
          <w:tcPr>
            <w:tcW w:w="2127" w:type="dxa"/>
            <w:tcBorders>
              <w:top w:val="nil"/>
              <w:left w:val="nil"/>
              <w:bottom w:val="single" w:sz="4" w:space="0" w:color="auto"/>
              <w:right w:val="single" w:sz="4" w:space="0" w:color="auto"/>
            </w:tcBorders>
            <w:noWrap/>
            <w:vAlign w:val="center"/>
            <w:hideMark/>
          </w:tcPr>
          <w:p w14:paraId="4B96A712" w14:textId="77777777" w:rsidR="000B7416" w:rsidRPr="009A7CD7" w:rsidRDefault="000B7416" w:rsidP="000B7416">
            <w:pPr>
              <w:jc w:val="center"/>
              <w:rPr>
                <w:b/>
                <w:bCs/>
                <w:color w:val="000000"/>
                <w:sz w:val="22"/>
                <w:szCs w:val="22"/>
              </w:rPr>
            </w:pPr>
            <w:r w:rsidRPr="009A7CD7">
              <w:rPr>
                <w:b/>
                <w:bCs/>
                <w:color w:val="000000"/>
                <w:sz w:val="22"/>
                <w:szCs w:val="22"/>
              </w:rPr>
              <w:t>100,0000</w:t>
            </w:r>
          </w:p>
        </w:tc>
        <w:tc>
          <w:tcPr>
            <w:tcW w:w="2268" w:type="dxa"/>
            <w:tcBorders>
              <w:top w:val="nil"/>
              <w:left w:val="nil"/>
              <w:bottom w:val="single" w:sz="4" w:space="0" w:color="auto"/>
              <w:right w:val="single" w:sz="4" w:space="0" w:color="auto"/>
            </w:tcBorders>
            <w:noWrap/>
            <w:vAlign w:val="center"/>
            <w:hideMark/>
          </w:tcPr>
          <w:p w14:paraId="6D9428C4" w14:textId="77777777" w:rsidR="000B7416" w:rsidRPr="009A7CD7" w:rsidRDefault="000B7416" w:rsidP="000B7416">
            <w:pPr>
              <w:jc w:val="center"/>
              <w:rPr>
                <w:b/>
                <w:bCs/>
                <w:color w:val="000000"/>
                <w:sz w:val="22"/>
                <w:szCs w:val="22"/>
              </w:rPr>
            </w:pPr>
            <w:r w:rsidRPr="009A7CD7">
              <w:rPr>
                <w:b/>
                <w:bCs/>
                <w:color w:val="000000"/>
                <w:sz w:val="22"/>
                <w:szCs w:val="22"/>
              </w:rPr>
              <w:t>100,0000</w:t>
            </w:r>
          </w:p>
        </w:tc>
        <w:tc>
          <w:tcPr>
            <w:tcW w:w="2835" w:type="dxa"/>
            <w:tcBorders>
              <w:top w:val="nil"/>
              <w:left w:val="nil"/>
              <w:bottom w:val="single" w:sz="4" w:space="0" w:color="auto"/>
              <w:right w:val="single" w:sz="4" w:space="0" w:color="auto"/>
            </w:tcBorders>
            <w:noWrap/>
            <w:vAlign w:val="center"/>
            <w:hideMark/>
          </w:tcPr>
          <w:p w14:paraId="67ECCF20" w14:textId="77777777" w:rsidR="000B7416" w:rsidRPr="009A7CD7" w:rsidRDefault="000B7416" w:rsidP="006E1DA8">
            <w:pPr>
              <w:jc w:val="center"/>
              <w:rPr>
                <w:b/>
                <w:bCs/>
                <w:color w:val="000000"/>
                <w:sz w:val="22"/>
                <w:szCs w:val="22"/>
              </w:rPr>
            </w:pPr>
            <w:r w:rsidRPr="009A7CD7">
              <w:rPr>
                <w:b/>
                <w:bCs/>
                <w:color w:val="000000"/>
                <w:sz w:val="22"/>
                <w:szCs w:val="22"/>
              </w:rPr>
              <w:t>250.000.000</w:t>
            </w:r>
          </w:p>
        </w:tc>
      </w:tr>
      <w:tr w:rsidR="000B7416" w:rsidRPr="009A7CD7" w14:paraId="4EFFE8D4" w14:textId="77777777" w:rsidTr="00D010A1">
        <w:trPr>
          <w:trHeight w:val="310"/>
          <w:jc w:val="center"/>
        </w:trPr>
        <w:tc>
          <w:tcPr>
            <w:tcW w:w="10060" w:type="dxa"/>
            <w:gridSpan w:val="4"/>
            <w:tcBorders>
              <w:top w:val="nil"/>
              <w:left w:val="nil"/>
              <w:bottom w:val="nil"/>
              <w:right w:val="nil"/>
            </w:tcBorders>
            <w:noWrap/>
            <w:vAlign w:val="bottom"/>
            <w:hideMark/>
          </w:tcPr>
          <w:p w14:paraId="377D83EF" w14:textId="77777777" w:rsidR="000B7416" w:rsidRPr="009A7CD7" w:rsidRDefault="005C1CDA" w:rsidP="00DE1DE2">
            <w:pPr>
              <w:jc w:val="both"/>
              <w:rPr>
                <w:b/>
                <w:bCs/>
                <w:color w:val="000000"/>
                <w:sz w:val="20"/>
                <w:szCs w:val="20"/>
              </w:rPr>
            </w:pPr>
            <w:r w:rsidRPr="009A7CD7">
              <w:rPr>
                <w:b/>
                <w:bCs/>
                <w:color w:val="000000"/>
                <w:sz w:val="20"/>
                <w:szCs w:val="20"/>
              </w:rPr>
              <w:t>*</w:t>
            </w:r>
            <w:r w:rsidR="000B7416" w:rsidRPr="009A7CD7">
              <w:rPr>
                <w:b/>
                <w:bCs/>
                <w:color w:val="000000"/>
                <w:sz w:val="20"/>
                <w:szCs w:val="20"/>
              </w:rPr>
              <w:t>70% popolazione over 70 (fonte ISTAT), 30% indennità di accompagnamento over 70 (fonte INPS)</w:t>
            </w:r>
          </w:p>
          <w:p w14:paraId="2A4ACB59" w14:textId="77777777" w:rsidR="005C1CDA" w:rsidRPr="009A7CD7" w:rsidRDefault="005C1CDA" w:rsidP="000B7416">
            <w:pPr>
              <w:rPr>
                <w:b/>
                <w:bCs/>
                <w:color w:val="000000"/>
              </w:rPr>
            </w:pPr>
          </w:p>
          <w:p w14:paraId="732AE0D3" w14:textId="0E249B97" w:rsidR="005C1CDA" w:rsidRPr="009A7CD7" w:rsidRDefault="005C1CDA" w:rsidP="000B7416">
            <w:pPr>
              <w:rPr>
                <w:b/>
                <w:bCs/>
                <w:color w:val="000000"/>
              </w:rPr>
            </w:pPr>
          </w:p>
        </w:tc>
      </w:tr>
    </w:tbl>
    <w:p w14:paraId="3084D3E9" w14:textId="77777777" w:rsidR="0098174A" w:rsidRPr="009A7CD7" w:rsidRDefault="0098174A" w:rsidP="00C26501">
      <w:pPr>
        <w:tabs>
          <w:tab w:val="left" w:pos="680"/>
        </w:tabs>
        <w:ind w:right="106"/>
        <w:rPr>
          <w:rFonts w:eastAsia="Calibri"/>
          <w:b/>
          <w:bCs/>
          <w:shd w:val="clear" w:color="auto" w:fill="FFFFFF"/>
        </w:rPr>
      </w:pPr>
    </w:p>
    <w:tbl>
      <w:tblPr>
        <w:tblW w:w="10060" w:type="dxa"/>
        <w:tblCellMar>
          <w:left w:w="70" w:type="dxa"/>
          <w:right w:w="70" w:type="dxa"/>
        </w:tblCellMar>
        <w:tblLook w:val="04A0" w:firstRow="1" w:lastRow="0" w:firstColumn="1" w:lastColumn="0" w:noHBand="0" w:noVBand="1"/>
      </w:tblPr>
      <w:tblGrid>
        <w:gridCol w:w="2830"/>
        <w:gridCol w:w="1843"/>
        <w:gridCol w:w="1843"/>
        <w:gridCol w:w="1559"/>
        <w:gridCol w:w="1985"/>
      </w:tblGrid>
      <w:tr w:rsidR="005C1CDA" w:rsidRPr="009A7CD7" w14:paraId="6742E01D" w14:textId="77777777" w:rsidTr="000510A2">
        <w:trPr>
          <w:trHeight w:val="657"/>
        </w:trPr>
        <w:tc>
          <w:tcPr>
            <w:tcW w:w="10060" w:type="dxa"/>
            <w:gridSpan w:val="5"/>
            <w:tcBorders>
              <w:top w:val="single" w:sz="4" w:space="0" w:color="auto"/>
              <w:left w:val="single" w:sz="4" w:space="0" w:color="auto"/>
              <w:bottom w:val="single" w:sz="4" w:space="0" w:color="auto"/>
              <w:right w:val="single" w:sz="4" w:space="0" w:color="auto"/>
            </w:tcBorders>
            <w:vAlign w:val="center"/>
          </w:tcPr>
          <w:p w14:paraId="11FA832E" w14:textId="77777777" w:rsidR="00E7108F" w:rsidRPr="009A7CD7" w:rsidRDefault="005C1CDA">
            <w:pPr>
              <w:jc w:val="center"/>
              <w:rPr>
                <w:b/>
                <w:bCs/>
                <w:color w:val="000000"/>
              </w:rPr>
            </w:pPr>
            <w:r w:rsidRPr="009A7CD7">
              <w:rPr>
                <w:b/>
                <w:bCs/>
                <w:color w:val="000000"/>
              </w:rPr>
              <w:t xml:space="preserve">Tabella 5 </w:t>
            </w:r>
          </w:p>
          <w:p w14:paraId="182F3CF9" w14:textId="283109AA" w:rsidR="005C1CDA" w:rsidRPr="009A7CD7" w:rsidRDefault="00BD60B4">
            <w:pPr>
              <w:jc w:val="center"/>
              <w:rPr>
                <w:b/>
                <w:bCs/>
                <w:color w:val="000000"/>
              </w:rPr>
            </w:pPr>
            <w:r w:rsidRPr="009A7CD7">
              <w:rPr>
                <w:b/>
                <w:bCs/>
                <w:color w:val="000000"/>
              </w:rPr>
              <w:t>P</w:t>
            </w:r>
            <w:r w:rsidR="009D6677" w:rsidRPr="009A7CD7">
              <w:rPr>
                <w:b/>
                <w:bCs/>
                <w:color w:val="000000"/>
              </w:rPr>
              <w:t>rogetti di v</w:t>
            </w:r>
            <w:r w:rsidR="005C1CDA" w:rsidRPr="009A7CD7">
              <w:rPr>
                <w:b/>
                <w:bCs/>
                <w:color w:val="000000"/>
              </w:rPr>
              <w:t>ita indipendente</w:t>
            </w:r>
          </w:p>
        </w:tc>
      </w:tr>
      <w:tr w:rsidR="005C1CDA" w:rsidRPr="009A7CD7" w14:paraId="140209EA" w14:textId="77777777" w:rsidTr="005C1CDA">
        <w:trPr>
          <w:trHeight w:val="1240"/>
        </w:trPr>
        <w:tc>
          <w:tcPr>
            <w:tcW w:w="2830" w:type="dxa"/>
            <w:tcBorders>
              <w:top w:val="single" w:sz="4" w:space="0" w:color="auto"/>
              <w:left w:val="single" w:sz="4" w:space="0" w:color="auto"/>
              <w:bottom w:val="single" w:sz="4" w:space="0" w:color="auto"/>
              <w:right w:val="single" w:sz="4" w:space="0" w:color="auto"/>
            </w:tcBorders>
            <w:vAlign w:val="center"/>
            <w:hideMark/>
          </w:tcPr>
          <w:p w14:paraId="12F7E1F2" w14:textId="77777777" w:rsidR="005C1CDA" w:rsidRPr="009A7CD7" w:rsidRDefault="005C1CDA">
            <w:pPr>
              <w:jc w:val="center"/>
              <w:rPr>
                <w:b/>
                <w:bCs/>
                <w:color w:val="000000"/>
                <w:sz w:val="22"/>
                <w:szCs w:val="22"/>
              </w:rPr>
            </w:pPr>
            <w:r w:rsidRPr="009A7CD7">
              <w:rPr>
                <w:b/>
                <w:bCs/>
                <w:color w:val="000000"/>
                <w:sz w:val="22"/>
                <w:szCs w:val="22"/>
              </w:rPr>
              <w:t>Regioni</w:t>
            </w:r>
          </w:p>
        </w:tc>
        <w:tc>
          <w:tcPr>
            <w:tcW w:w="1843" w:type="dxa"/>
            <w:tcBorders>
              <w:top w:val="single" w:sz="4" w:space="0" w:color="auto"/>
              <w:left w:val="nil"/>
              <w:bottom w:val="single" w:sz="4" w:space="0" w:color="auto"/>
              <w:right w:val="single" w:sz="4" w:space="0" w:color="auto"/>
            </w:tcBorders>
            <w:vAlign w:val="center"/>
            <w:hideMark/>
          </w:tcPr>
          <w:p w14:paraId="4AA3C180" w14:textId="6BB1B760" w:rsidR="005C1CDA" w:rsidRPr="009A7CD7" w:rsidRDefault="005C1CDA">
            <w:pPr>
              <w:jc w:val="center"/>
              <w:rPr>
                <w:b/>
                <w:bCs/>
                <w:color w:val="000000"/>
                <w:sz w:val="22"/>
                <w:szCs w:val="22"/>
              </w:rPr>
            </w:pPr>
            <w:r w:rsidRPr="009A7CD7">
              <w:rPr>
                <w:b/>
                <w:bCs/>
                <w:color w:val="000000"/>
                <w:sz w:val="22"/>
                <w:szCs w:val="22"/>
              </w:rPr>
              <w:t xml:space="preserve">Numero </w:t>
            </w:r>
            <w:r w:rsidR="00E7108F" w:rsidRPr="009A7CD7">
              <w:rPr>
                <w:b/>
                <w:bCs/>
                <w:color w:val="000000"/>
                <w:sz w:val="22"/>
                <w:szCs w:val="22"/>
              </w:rPr>
              <w:t>ATS</w:t>
            </w:r>
          </w:p>
        </w:tc>
        <w:tc>
          <w:tcPr>
            <w:tcW w:w="1843" w:type="dxa"/>
            <w:tcBorders>
              <w:top w:val="single" w:sz="4" w:space="0" w:color="auto"/>
              <w:left w:val="nil"/>
              <w:bottom w:val="single" w:sz="4" w:space="0" w:color="auto"/>
              <w:right w:val="single" w:sz="4" w:space="0" w:color="auto"/>
            </w:tcBorders>
            <w:vAlign w:val="center"/>
            <w:hideMark/>
          </w:tcPr>
          <w:p w14:paraId="07433B5F" w14:textId="092C3390" w:rsidR="005C1CDA" w:rsidRPr="009A7CD7" w:rsidRDefault="005C1CDA">
            <w:pPr>
              <w:jc w:val="center"/>
              <w:rPr>
                <w:b/>
                <w:bCs/>
                <w:color w:val="000000"/>
                <w:sz w:val="22"/>
                <w:szCs w:val="22"/>
              </w:rPr>
            </w:pPr>
            <w:r w:rsidRPr="009A7CD7">
              <w:rPr>
                <w:b/>
                <w:bCs/>
                <w:color w:val="000000"/>
                <w:sz w:val="22"/>
                <w:szCs w:val="22"/>
              </w:rPr>
              <w:t xml:space="preserve">Popolazione residente 18-64 </w:t>
            </w:r>
            <w:r w:rsidR="00E7108F" w:rsidRPr="009A7CD7">
              <w:rPr>
                <w:b/>
                <w:bCs/>
                <w:color w:val="000000"/>
                <w:sz w:val="22"/>
                <w:szCs w:val="22"/>
              </w:rPr>
              <w:t xml:space="preserve">anni </w:t>
            </w:r>
            <w:r w:rsidRPr="009A7CD7">
              <w:rPr>
                <w:b/>
                <w:bCs/>
                <w:color w:val="000000"/>
                <w:sz w:val="22"/>
                <w:szCs w:val="22"/>
              </w:rPr>
              <w:t>al</w:t>
            </w:r>
            <w:r w:rsidR="00E7108F" w:rsidRPr="009A7CD7">
              <w:rPr>
                <w:b/>
                <w:bCs/>
                <w:color w:val="000000"/>
                <w:sz w:val="22"/>
                <w:szCs w:val="22"/>
              </w:rPr>
              <w:t>l’</w:t>
            </w:r>
            <w:r w:rsidRPr="009A7CD7">
              <w:rPr>
                <w:b/>
                <w:bCs/>
                <w:color w:val="000000"/>
                <w:sz w:val="22"/>
                <w:szCs w:val="22"/>
              </w:rPr>
              <w:t>1</w:t>
            </w:r>
            <w:r w:rsidR="00E7108F" w:rsidRPr="009A7CD7">
              <w:rPr>
                <w:b/>
                <w:bCs/>
                <w:color w:val="000000"/>
                <w:sz w:val="22"/>
                <w:szCs w:val="22"/>
              </w:rPr>
              <w:t>.1.</w:t>
            </w:r>
            <w:r w:rsidRPr="009A7CD7">
              <w:rPr>
                <w:b/>
                <w:bCs/>
                <w:color w:val="000000"/>
                <w:sz w:val="22"/>
                <w:szCs w:val="22"/>
              </w:rPr>
              <w:t xml:space="preserve">2025 </w:t>
            </w:r>
          </w:p>
        </w:tc>
        <w:tc>
          <w:tcPr>
            <w:tcW w:w="1559" w:type="dxa"/>
            <w:tcBorders>
              <w:top w:val="single" w:sz="4" w:space="0" w:color="auto"/>
              <w:left w:val="nil"/>
              <w:bottom w:val="single" w:sz="4" w:space="0" w:color="auto"/>
              <w:right w:val="single" w:sz="4" w:space="0" w:color="auto"/>
            </w:tcBorders>
            <w:vAlign w:val="center"/>
            <w:hideMark/>
          </w:tcPr>
          <w:p w14:paraId="39496642" w14:textId="3A4F9743" w:rsidR="005C1CDA" w:rsidRPr="009A7CD7" w:rsidRDefault="005C1CDA">
            <w:pPr>
              <w:jc w:val="center"/>
              <w:rPr>
                <w:b/>
                <w:bCs/>
                <w:color w:val="000000"/>
                <w:sz w:val="22"/>
                <w:szCs w:val="22"/>
              </w:rPr>
            </w:pPr>
            <w:r w:rsidRPr="009A7CD7">
              <w:rPr>
                <w:b/>
                <w:bCs/>
                <w:color w:val="000000"/>
                <w:sz w:val="22"/>
                <w:szCs w:val="22"/>
              </w:rPr>
              <w:t>A</w:t>
            </w:r>
            <w:r w:rsidR="00E7108F" w:rsidRPr="009A7CD7">
              <w:rPr>
                <w:b/>
                <w:bCs/>
                <w:color w:val="000000"/>
                <w:sz w:val="22"/>
                <w:szCs w:val="22"/>
              </w:rPr>
              <w:t xml:space="preserve">TS </w:t>
            </w:r>
            <w:r w:rsidRPr="009A7CD7">
              <w:rPr>
                <w:b/>
                <w:bCs/>
                <w:color w:val="000000"/>
                <w:sz w:val="22"/>
                <w:szCs w:val="22"/>
              </w:rPr>
              <w:t>finanziabili</w:t>
            </w:r>
          </w:p>
        </w:tc>
        <w:tc>
          <w:tcPr>
            <w:tcW w:w="1985" w:type="dxa"/>
            <w:tcBorders>
              <w:top w:val="single" w:sz="4" w:space="0" w:color="auto"/>
              <w:left w:val="nil"/>
              <w:bottom w:val="single" w:sz="4" w:space="0" w:color="auto"/>
              <w:right w:val="single" w:sz="4" w:space="0" w:color="auto"/>
            </w:tcBorders>
            <w:vAlign w:val="center"/>
            <w:hideMark/>
          </w:tcPr>
          <w:p w14:paraId="4FE4B509" w14:textId="77777777" w:rsidR="005C1CDA" w:rsidRPr="009A7CD7" w:rsidRDefault="005C1CDA">
            <w:pPr>
              <w:jc w:val="center"/>
              <w:rPr>
                <w:b/>
                <w:bCs/>
                <w:color w:val="000000"/>
                <w:sz w:val="22"/>
                <w:szCs w:val="22"/>
              </w:rPr>
            </w:pPr>
            <w:r w:rsidRPr="009A7CD7">
              <w:rPr>
                <w:b/>
                <w:bCs/>
                <w:color w:val="000000"/>
                <w:sz w:val="22"/>
                <w:szCs w:val="22"/>
              </w:rPr>
              <w:t>Importo per ciascun anno del triennio 2025-2027</w:t>
            </w:r>
          </w:p>
        </w:tc>
      </w:tr>
      <w:tr w:rsidR="005C1CDA" w:rsidRPr="009A7CD7" w14:paraId="417D0C01" w14:textId="77777777" w:rsidTr="005C1CDA">
        <w:trPr>
          <w:trHeight w:val="310"/>
        </w:trPr>
        <w:tc>
          <w:tcPr>
            <w:tcW w:w="2830" w:type="dxa"/>
            <w:tcBorders>
              <w:top w:val="nil"/>
              <w:left w:val="single" w:sz="4" w:space="0" w:color="auto"/>
              <w:bottom w:val="single" w:sz="4" w:space="0" w:color="auto"/>
              <w:right w:val="single" w:sz="4" w:space="0" w:color="auto"/>
            </w:tcBorders>
            <w:noWrap/>
            <w:vAlign w:val="bottom"/>
            <w:hideMark/>
          </w:tcPr>
          <w:p w14:paraId="2D432236" w14:textId="77777777" w:rsidR="005C1CDA" w:rsidRPr="009A7CD7" w:rsidRDefault="005C1CDA">
            <w:pPr>
              <w:rPr>
                <w:color w:val="000000"/>
                <w:sz w:val="22"/>
                <w:szCs w:val="22"/>
              </w:rPr>
            </w:pPr>
            <w:r w:rsidRPr="009A7CD7">
              <w:rPr>
                <w:color w:val="000000"/>
                <w:sz w:val="22"/>
                <w:szCs w:val="22"/>
              </w:rPr>
              <w:t>Abruzzo</w:t>
            </w:r>
          </w:p>
        </w:tc>
        <w:tc>
          <w:tcPr>
            <w:tcW w:w="1843" w:type="dxa"/>
            <w:tcBorders>
              <w:top w:val="nil"/>
              <w:left w:val="nil"/>
              <w:bottom w:val="single" w:sz="4" w:space="0" w:color="auto"/>
              <w:right w:val="single" w:sz="4" w:space="0" w:color="auto"/>
            </w:tcBorders>
            <w:noWrap/>
            <w:vAlign w:val="center"/>
            <w:hideMark/>
          </w:tcPr>
          <w:p w14:paraId="0384410C" w14:textId="77777777" w:rsidR="005C1CDA" w:rsidRPr="009A7CD7" w:rsidRDefault="005C1CDA">
            <w:pPr>
              <w:jc w:val="center"/>
              <w:rPr>
                <w:sz w:val="22"/>
                <w:szCs w:val="22"/>
              </w:rPr>
            </w:pPr>
            <w:r w:rsidRPr="009A7CD7">
              <w:rPr>
                <w:sz w:val="22"/>
                <w:szCs w:val="22"/>
              </w:rPr>
              <w:t>24</w:t>
            </w:r>
          </w:p>
        </w:tc>
        <w:tc>
          <w:tcPr>
            <w:tcW w:w="1843" w:type="dxa"/>
            <w:tcBorders>
              <w:top w:val="nil"/>
              <w:left w:val="nil"/>
              <w:bottom w:val="single" w:sz="4" w:space="0" w:color="auto"/>
              <w:right w:val="single" w:sz="4" w:space="0" w:color="auto"/>
            </w:tcBorders>
            <w:noWrap/>
            <w:vAlign w:val="bottom"/>
            <w:hideMark/>
          </w:tcPr>
          <w:p w14:paraId="03C00B28" w14:textId="77777777" w:rsidR="005C1CDA" w:rsidRPr="009A7CD7" w:rsidRDefault="005C1CDA" w:rsidP="006E1DA8">
            <w:pPr>
              <w:jc w:val="center"/>
              <w:rPr>
                <w:color w:val="000000"/>
                <w:sz w:val="22"/>
                <w:szCs w:val="22"/>
              </w:rPr>
            </w:pPr>
            <w:r w:rsidRPr="009A7CD7">
              <w:rPr>
                <w:color w:val="000000"/>
                <w:sz w:val="22"/>
                <w:szCs w:val="22"/>
              </w:rPr>
              <w:t>758.083</w:t>
            </w:r>
          </w:p>
        </w:tc>
        <w:tc>
          <w:tcPr>
            <w:tcW w:w="1559" w:type="dxa"/>
            <w:tcBorders>
              <w:top w:val="nil"/>
              <w:left w:val="nil"/>
              <w:bottom w:val="single" w:sz="4" w:space="0" w:color="auto"/>
              <w:right w:val="single" w:sz="4" w:space="0" w:color="auto"/>
            </w:tcBorders>
            <w:noWrap/>
            <w:vAlign w:val="center"/>
            <w:hideMark/>
          </w:tcPr>
          <w:p w14:paraId="7978ADEF" w14:textId="77777777" w:rsidR="005C1CDA" w:rsidRPr="009A7CD7" w:rsidRDefault="005C1CDA" w:rsidP="006E1DA8">
            <w:pPr>
              <w:jc w:val="center"/>
              <w:rPr>
                <w:color w:val="000000"/>
                <w:sz w:val="22"/>
                <w:szCs w:val="22"/>
              </w:rPr>
            </w:pPr>
            <w:r w:rsidRPr="009A7CD7">
              <w:rPr>
                <w:color w:val="000000"/>
                <w:sz w:val="22"/>
                <w:szCs w:val="22"/>
              </w:rPr>
              <w:t>4</w:t>
            </w:r>
          </w:p>
        </w:tc>
        <w:tc>
          <w:tcPr>
            <w:tcW w:w="1985" w:type="dxa"/>
            <w:tcBorders>
              <w:top w:val="nil"/>
              <w:left w:val="nil"/>
              <w:bottom w:val="single" w:sz="4" w:space="0" w:color="auto"/>
              <w:right w:val="single" w:sz="4" w:space="0" w:color="auto"/>
            </w:tcBorders>
            <w:noWrap/>
            <w:vAlign w:val="bottom"/>
            <w:hideMark/>
          </w:tcPr>
          <w:p w14:paraId="25B590B4" w14:textId="77777777" w:rsidR="005C1CDA" w:rsidRPr="009A7CD7" w:rsidRDefault="005C1CDA" w:rsidP="006E1DA8">
            <w:pPr>
              <w:jc w:val="center"/>
              <w:rPr>
                <w:color w:val="000000"/>
                <w:sz w:val="22"/>
                <w:szCs w:val="22"/>
              </w:rPr>
            </w:pPr>
            <w:r w:rsidRPr="009A7CD7">
              <w:rPr>
                <w:color w:val="000000"/>
                <w:sz w:val="22"/>
                <w:szCs w:val="22"/>
              </w:rPr>
              <w:t>320.000</w:t>
            </w:r>
          </w:p>
        </w:tc>
      </w:tr>
      <w:tr w:rsidR="005C1CDA" w:rsidRPr="009A7CD7" w14:paraId="077E0968" w14:textId="77777777" w:rsidTr="005C1CDA">
        <w:trPr>
          <w:trHeight w:val="310"/>
        </w:trPr>
        <w:tc>
          <w:tcPr>
            <w:tcW w:w="2830" w:type="dxa"/>
            <w:tcBorders>
              <w:top w:val="nil"/>
              <w:left w:val="single" w:sz="4" w:space="0" w:color="auto"/>
              <w:bottom w:val="single" w:sz="4" w:space="0" w:color="auto"/>
              <w:right w:val="single" w:sz="4" w:space="0" w:color="auto"/>
            </w:tcBorders>
            <w:noWrap/>
            <w:vAlign w:val="bottom"/>
            <w:hideMark/>
          </w:tcPr>
          <w:p w14:paraId="75424832" w14:textId="77777777" w:rsidR="005C1CDA" w:rsidRPr="009A7CD7" w:rsidRDefault="005C1CDA">
            <w:pPr>
              <w:rPr>
                <w:color w:val="000000"/>
                <w:sz w:val="22"/>
                <w:szCs w:val="22"/>
              </w:rPr>
            </w:pPr>
            <w:r w:rsidRPr="009A7CD7">
              <w:rPr>
                <w:color w:val="000000"/>
                <w:sz w:val="22"/>
                <w:szCs w:val="22"/>
              </w:rPr>
              <w:t>Basilicata</w:t>
            </w:r>
          </w:p>
        </w:tc>
        <w:tc>
          <w:tcPr>
            <w:tcW w:w="1843" w:type="dxa"/>
            <w:tcBorders>
              <w:top w:val="nil"/>
              <w:left w:val="nil"/>
              <w:bottom w:val="single" w:sz="4" w:space="0" w:color="auto"/>
              <w:right w:val="single" w:sz="4" w:space="0" w:color="auto"/>
            </w:tcBorders>
            <w:noWrap/>
            <w:vAlign w:val="center"/>
            <w:hideMark/>
          </w:tcPr>
          <w:p w14:paraId="0AD88B19" w14:textId="77777777" w:rsidR="005C1CDA" w:rsidRPr="009A7CD7" w:rsidRDefault="005C1CDA">
            <w:pPr>
              <w:jc w:val="center"/>
              <w:rPr>
                <w:sz w:val="22"/>
                <w:szCs w:val="22"/>
              </w:rPr>
            </w:pPr>
            <w:r w:rsidRPr="009A7CD7">
              <w:rPr>
                <w:sz w:val="22"/>
                <w:szCs w:val="22"/>
              </w:rPr>
              <w:t>9</w:t>
            </w:r>
          </w:p>
        </w:tc>
        <w:tc>
          <w:tcPr>
            <w:tcW w:w="1843" w:type="dxa"/>
            <w:tcBorders>
              <w:top w:val="nil"/>
              <w:left w:val="nil"/>
              <w:bottom w:val="single" w:sz="4" w:space="0" w:color="auto"/>
              <w:right w:val="single" w:sz="4" w:space="0" w:color="auto"/>
            </w:tcBorders>
            <w:noWrap/>
            <w:vAlign w:val="bottom"/>
            <w:hideMark/>
          </w:tcPr>
          <w:p w14:paraId="305CE4F9" w14:textId="77777777" w:rsidR="005C1CDA" w:rsidRPr="009A7CD7" w:rsidRDefault="005C1CDA" w:rsidP="006E1DA8">
            <w:pPr>
              <w:jc w:val="center"/>
              <w:rPr>
                <w:color w:val="000000"/>
                <w:sz w:val="22"/>
                <w:szCs w:val="22"/>
              </w:rPr>
            </w:pPr>
            <w:r w:rsidRPr="009A7CD7">
              <w:rPr>
                <w:color w:val="000000"/>
                <w:sz w:val="22"/>
                <w:szCs w:val="22"/>
              </w:rPr>
              <w:t>320.445</w:t>
            </w:r>
          </w:p>
        </w:tc>
        <w:tc>
          <w:tcPr>
            <w:tcW w:w="1559" w:type="dxa"/>
            <w:tcBorders>
              <w:top w:val="nil"/>
              <w:left w:val="nil"/>
              <w:bottom w:val="single" w:sz="4" w:space="0" w:color="auto"/>
              <w:right w:val="single" w:sz="4" w:space="0" w:color="auto"/>
            </w:tcBorders>
            <w:noWrap/>
            <w:vAlign w:val="center"/>
            <w:hideMark/>
          </w:tcPr>
          <w:p w14:paraId="76C8E258" w14:textId="77777777" w:rsidR="005C1CDA" w:rsidRPr="009A7CD7" w:rsidRDefault="005C1CDA" w:rsidP="006E1DA8">
            <w:pPr>
              <w:jc w:val="center"/>
              <w:rPr>
                <w:color w:val="000000"/>
                <w:sz w:val="22"/>
                <w:szCs w:val="22"/>
              </w:rPr>
            </w:pPr>
            <w:r w:rsidRPr="009A7CD7">
              <w:rPr>
                <w:color w:val="000000"/>
                <w:sz w:val="22"/>
                <w:szCs w:val="22"/>
              </w:rPr>
              <w:t>2</w:t>
            </w:r>
          </w:p>
        </w:tc>
        <w:tc>
          <w:tcPr>
            <w:tcW w:w="1985" w:type="dxa"/>
            <w:tcBorders>
              <w:top w:val="nil"/>
              <w:left w:val="nil"/>
              <w:bottom w:val="single" w:sz="4" w:space="0" w:color="auto"/>
              <w:right w:val="single" w:sz="4" w:space="0" w:color="auto"/>
            </w:tcBorders>
            <w:noWrap/>
            <w:vAlign w:val="bottom"/>
            <w:hideMark/>
          </w:tcPr>
          <w:p w14:paraId="13A04B86" w14:textId="77777777" w:rsidR="005C1CDA" w:rsidRPr="009A7CD7" w:rsidRDefault="005C1CDA" w:rsidP="006E1DA8">
            <w:pPr>
              <w:jc w:val="center"/>
              <w:rPr>
                <w:color w:val="000000"/>
                <w:sz w:val="22"/>
                <w:szCs w:val="22"/>
              </w:rPr>
            </w:pPr>
            <w:r w:rsidRPr="009A7CD7">
              <w:rPr>
                <w:color w:val="000000"/>
                <w:sz w:val="22"/>
                <w:szCs w:val="22"/>
              </w:rPr>
              <w:t>160.000</w:t>
            </w:r>
          </w:p>
        </w:tc>
      </w:tr>
      <w:tr w:rsidR="005C1CDA" w:rsidRPr="009A7CD7" w14:paraId="5128BFC9" w14:textId="77777777" w:rsidTr="005C1CDA">
        <w:trPr>
          <w:trHeight w:val="310"/>
        </w:trPr>
        <w:tc>
          <w:tcPr>
            <w:tcW w:w="2830" w:type="dxa"/>
            <w:tcBorders>
              <w:top w:val="nil"/>
              <w:left w:val="single" w:sz="4" w:space="0" w:color="auto"/>
              <w:bottom w:val="single" w:sz="4" w:space="0" w:color="auto"/>
              <w:right w:val="single" w:sz="4" w:space="0" w:color="auto"/>
            </w:tcBorders>
            <w:noWrap/>
            <w:vAlign w:val="bottom"/>
            <w:hideMark/>
          </w:tcPr>
          <w:p w14:paraId="093B9754" w14:textId="77777777" w:rsidR="005C1CDA" w:rsidRPr="009A7CD7" w:rsidRDefault="005C1CDA">
            <w:pPr>
              <w:rPr>
                <w:color w:val="000000"/>
                <w:sz w:val="22"/>
                <w:szCs w:val="22"/>
              </w:rPr>
            </w:pPr>
            <w:r w:rsidRPr="009A7CD7">
              <w:rPr>
                <w:color w:val="000000"/>
                <w:sz w:val="22"/>
                <w:szCs w:val="22"/>
              </w:rPr>
              <w:t>Calabria</w:t>
            </w:r>
          </w:p>
        </w:tc>
        <w:tc>
          <w:tcPr>
            <w:tcW w:w="1843" w:type="dxa"/>
            <w:tcBorders>
              <w:top w:val="nil"/>
              <w:left w:val="nil"/>
              <w:bottom w:val="single" w:sz="4" w:space="0" w:color="auto"/>
              <w:right w:val="single" w:sz="4" w:space="0" w:color="auto"/>
            </w:tcBorders>
            <w:noWrap/>
            <w:vAlign w:val="center"/>
            <w:hideMark/>
          </w:tcPr>
          <w:p w14:paraId="4E291C00" w14:textId="77777777" w:rsidR="005C1CDA" w:rsidRPr="009A7CD7" w:rsidRDefault="005C1CDA">
            <w:pPr>
              <w:jc w:val="center"/>
              <w:rPr>
                <w:sz w:val="22"/>
                <w:szCs w:val="22"/>
              </w:rPr>
            </w:pPr>
            <w:r w:rsidRPr="009A7CD7">
              <w:rPr>
                <w:sz w:val="22"/>
                <w:szCs w:val="22"/>
              </w:rPr>
              <w:t>32</w:t>
            </w:r>
          </w:p>
        </w:tc>
        <w:tc>
          <w:tcPr>
            <w:tcW w:w="1843" w:type="dxa"/>
            <w:tcBorders>
              <w:top w:val="nil"/>
              <w:left w:val="nil"/>
              <w:bottom w:val="single" w:sz="4" w:space="0" w:color="auto"/>
              <w:right w:val="single" w:sz="4" w:space="0" w:color="auto"/>
            </w:tcBorders>
            <w:noWrap/>
            <w:vAlign w:val="bottom"/>
            <w:hideMark/>
          </w:tcPr>
          <w:p w14:paraId="1A240578" w14:textId="77777777" w:rsidR="005C1CDA" w:rsidRPr="009A7CD7" w:rsidRDefault="005C1CDA" w:rsidP="006E1DA8">
            <w:pPr>
              <w:jc w:val="center"/>
              <w:rPr>
                <w:color w:val="000000"/>
                <w:sz w:val="22"/>
                <w:szCs w:val="22"/>
              </w:rPr>
            </w:pPr>
            <w:r w:rsidRPr="009A7CD7">
              <w:rPr>
                <w:color w:val="000000"/>
                <w:sz w:val="22"/>
                <w:szCs w:val="22"/>
              </w:rPr>
              <w:t>1.102.181</w:t>
            </w:r>
          </w:p>
        </w:tc>
        <w:tc>
          <w:tcPr>
            <w:tcW w:w="1559" w:type="dxa"/>
            <w:tcBorders>
              <w:top w:val="nil"/>
              <w:left w:val="nil"/>
              <w:bottom w:val="single" w:sz="4" w:space="0" w:color="auto"/>
              <w:right w:val="single" w:sz="4" w:space="0" w:color="auto"/>
            </w:tcBorders>
            <w:noWrap/>
            <w:vAlign w:val="center"/>
            <w:hideMark/>
          </w:tcPr>
          <w:p w14:paraId="72F27B6C" w14:textId="77777777" w:rsidR="005C1CDA" w:rsidRPr="009A7CD7" w:rsidRDefault="005C1CDA" w:rsidP="006E1DA8">
            <w:pPr>
              <w:jc w:val="center"/>
              <w:rPr>
                <w:color w:val="000000"/>
                <w:sz w:val="22"/>
                <w:szCs w:val="22"/>
              </w:rPr>
            </w:pPr>
            <w:r w:rsidRPr="009A7CD7">
              <w:rPr>
                <w:color w:val="000000"/>
                <w:sz w:val="22"/>
                <w:szCs w:val="22"/>
              </w:rPr>
              <w:t>6</w:t>
            </w:r>
          </w:p>
        </w:tc>
        <w:tc>
          <w:tcPr>
            <w:tcW w:w="1985" w:type="dxa"/>
            <w:tcBorders>
              <w:top w:val="nil"/>
              <w:left w:val="nil"/>
              <w:bottom w:val="single" w:sz="4" w:space="0" w:color="auto"/>
              <w:right w:val="single" w:sz="4" w:space="0" w:color="auto"/>
            </w:tcBorders>
            <w:noWrap/>
            <w:vAlign w:val="bottom"/>
            <w:hideMark/>
          </w:tcPr>
          <w:p w14:paraId="5B75CC3A" w14:textId="77777777" w:rsidR="005C1CDA" w:rsidRPr="009A7CD7" w:rsidRDefault="005C1CDA" w:rsidP="006E1DA8">
            <w:pPr>
              <w:jc w:val="center"/>
              <w:rPr>
                <w:color w:val="000000"/>
                <w:sz w:val="22"/>
                <w:szCs w:val="22"/>
              </w:rPr>
            </w:pPr>
            <w:r w:rsidRPr="009A7CD7">
              <w:rPr>
                <w:color w:val="000000"/>
                <w:sz w:val="22"/>
                <w:szCs w:val="22"/>
              </w:rPr>
              <w:t>480.000</w:t>
            </w:r>
          </w:p>
        </w:tc>
      </w:tr>
      <w:tr w:rsidR="005C1CDA" w:rsidRPr="009A7CD7" w14:paraId="2261B83A" w14:textId="77777777" w:rsidTr="005C1CDA">
        <w:trPr>
          <w:trHeight w:val="310"/>
        </w:trPr>
        <w:tc>
          <w:tcPr>
            <w:tcW w:w="2830" w:type="dxa"/>
            <w:tcBorders>
              <w:top w:val="nil"/>
              <w:left w:val="single" w:sz="4" w:space="0" w:color="auto"/>
              <w:bottom w:val="single" w:sz="4" w:space="0" w:color="auto"/>
              <w:right w:val="single" w:sz="4" w:space="0" w:color="auto"/>
            </w:tcBorders>
            <w:noWrap/>
            <w:vAlign w:val="bottom"/>
            <w:hideMark/>
          </w:tcPr>
          <w:p w14:paraId="23525F62" w14:textId="77777777" w:rsidR="005C1CDA" w:rsidRPr="009A7CD7" w:rsidRDefault="005C1CDA">
            <w:pPr>
              <w:rPr>
                <w:color w:val="000000"/>
                <w:sz w:val="22"/>
                <w:szCs w:val="22"/>
              </w:rPr>
            </w:pPr>
            <w:r w:rsidRPr="009A7CD7">
              <w:rPr>
                <w:color w:val="000000"/>
                <w:sz w:val="22"/>
                <w:szCs w:val="22"/>
              </w:rPr>
              <w:t>Campania</w:t>
            </w:r>
          </w:p>
        </w:tc>
        <w:tc>
          <w:tcPr>
            <w:tcW w:w="1843" w:type="dxa"/>
            <w:tcBorders>
              <w:top w:val="nil"/>
              <w:left w:val="nil"/>
              <w:bottom w:val="single" w:sz="4" w:space="0" w:color="auto"/>
              <w:right w:val="single" w:sz="4" w:space="0" w:color="auto"/>
            </w:tcBorders>
            <w:noWrap/>
            <w:vAlign w:val="center"/>
            <w:hideMark/>
          </w:tcPr>
          <w:p w14:paraId="2A21F284" w14:textId="77777777" w:rsidR="005C1CDA" w:rsidRPr="009A7CD7" w:rsidRDefault="005C1CDA">
            <w:pPr>
              <w:jc w:val="center"/>
              <w:rPr>
                <w:sz w:val="22"/>
                <w:szCs w:val="22"/>
              </w:rPr>
            </w:pPr>
            <w:r w:rsidRPr="009A7CD7">
              <w:rPr>
                <w:sz w:val="22"/>
                <w:szCs w:val="22"/>
              </w:rPr>
              <w:t>60</w:t>
            </w:r>
          </w:p>
        </w:tc>
        <w:tc>
          <w:tcPr>
            <w:tcW w:w="1843" w:type="dxa"/>
            <w:tcBorders>
              <w:top w:val="nil"/>
              <w:left w:val="nil"/>
              <w:bottom w:val="single" w:sz="4" w:space="0" w:color="auto"/>
              <w:right w:val="single" w:sz="4" w:space="0" w:color="auto"/>
            </w:tcBorders>
            <w:noWrap/>
            <w:vAlign w:val="bottom"/>
            <w:hideMark/>
          </w:tcPr>
          <w:p w14:paraId="73618977" w14:textId="77777777" w:rsidR="005C1CDA" w:rsidRPr="009A7CD7" w:rsidRDefault="005C1CDA" w:rsidP="006E1DA8">
            <w:pPr>
              <w:jc w:val="center"/>
              <w:rPr>
                <w:color w:val="000000"/>
                <w:sz w:val="22"/>
                <w:szCs w:val="22"/>
              </w:rPr>
            </w:pPr>
            <w:r w:rsidRPr="009A7CD7">
              <w:rPr>
                <w:color w:val="000000"/>
                <w:sz w:val="22"/>
                <w:szCs w:val="22"/>
              </w:rPr>
              <w:t>3.460.016</w:t>
            </w:r>
          </w:p>
        </w:tc>
        <w:tc>
          <w:tcPr>
            <w:tcW w:w="1559" w:type="dxa"/>
            <w:tcBorders>
              <w:top w:val="nil"/>
              <w:left w:val="nil"/>
              <w:bottom w:val="single" w:sz="4" w:space="0" w:color="auto"/>
              <w:right w:val="single" w:sz="4" w:space="0" w:color="auto"/>
            </w:tcBorders>
            <w:noWrap/>
            <w:vAlign w:val="center"/>
            <w:hideMark/>
          </w:tcPr>
          <w:p w14:paraId="7FE3A06C" w14:textId="77777777" w:rsidR="005C1CDA" w:rsidRPr="009A7CD7" w:rsidRDefault="005C1CDA" w:rsidP="006E1DA8">
            <w:pPr>
              <w:jc w:val="center"/>
              <w:rPr>
                <w:color w:val="000000"/>
                <w:sz w:val="22"/>
                <w:szCs w:val="22"/>
              </w:rPr>
            </w:pPr>
            <w:r w:rsidRPr="009A7CD7">
              <w:rPr>
                <w:color w:val="000000"/>
                <w:sz w:val="22"/>
                <w:szCs w:val="22"/>
              </w:rPr>
              <w:t>18</w:t>
            </w:r>
          </w:p>
        </w:tc>
        <w:tc>
          <w:tcPr>
            <w:tcW w:w="1985" w:type="dxa"/>
            <w:tcBorders>
              <w:top w:val="nil"/>
              <w:left w:val="nil"/>
              <w:bottom w:val="single" w:sz="4" w:space="0" w:color="auto"/>
              <w:right w:val="single" w:sz="4" w:space="0" w:color="auto"/>
            </w:tcBorders>
            <w:noWrap/>
            <w:vAlign w:val="bottom"/>
            <w:hideMark/>
          </w:tcPr>
          <w:p w14:paraId="5A8E5BB9" w14:textId="77777777" w:rsidR="005C1CDA" w:rsidRPr="009A7CD7" w:rsidRDefault="005C1CDA" w:rsidP="006E1DA8">
            <w:pPr>
              <w:jc w:val="center"/>
              <w:rPr>
                <w:color w:val="000000"/>
                <w:sz w:val="22"/>
                <w:szCs w:val="22"/>
              </w:rPr>
            </w:pPr>
            <w:r w:rsidRPr="009A7CD7">
              <w:rPr>
                <w:color w:val="000000"/>
                <w:sz w:val="22"/>
                <w:szCs w:val="22"/>
              </w:rPr>
              <w:t>1.440.000</w:t>
            </w:r>
          </w:p>
        </w:tc>
      </w:tr>
      <w:tr w:rsidR="005C1CDA" w:rsidRPr="009A7CD7" w14:paraId="6B3FC922" w14:textId="77777777" w:rsidTr="005C1CDA">
        <w:trPr>
          <w:trHeight w:val="310"/>
        </w:trPr>
        <w:tc>
          <w:tcPr>
            <w:tcW w:w="2830" w:type="dxa"/>
            <w:tcBorders>
              <w:top w:val="nil"/>
              <w:left w:val="single" w:sz="4" w:space="0" w:color="auto"/>
              <w:bottom w:val="single" w:sz="4" w:space="0" w:color="auto"/>
              <w:right w:val="single" w:sz="4" w:space="0" w:color="auto"/>
            </w:tcBorders>
            <w:noWrap/>
            <w:vAlign w:val="bottom"/>
            <w:hideMark/>
          </w:tcPr>
          <w:p w14:paraId="19E551C1" w14:textId="77777777" w:rsidR="005C1CDA" w:rsidRPr="009A7CD7" w:rsidRDefault="005C1CDA">
            <w:pPr>
              <w:rPr>
                <w:color w:val="000000"/>
                <w:sz w:val="22"/>
                <w:szCs w:val="22"/>
              </w:rPr>
            </w:pPr>
            <w:r w:rsidRPr="009A7CD7">
              <w:rPr>
                <w:color w:val="000000"/>
                <w:sz w:val="22"/>
                <w:szCs w:val="22"/>
              </w:rPr>
              <w:t>Emilia-Romagna</w:t>
            </w:r>
          </w:p>
        </w:tc>
        <w:tc>
          <w:tcPr>
            <w:tcW w:w="1843" w:type="dxa"/>
            <w:tcBorders>
              <w:top w:val="nil"/>
              <w:left w:val="nil"/>
              <w:bottom w:val="single" w:sz="4" w:space="0" w:color="auto"/>
              <w:right w:val="single" w:sz="4" w:space="0" w:color="auto"/>
            </w:tcBorders>
            <w:noWrap/>
            <w:vAlign w:val="center"/>
            <w:hideMark/>
          </w:tcPr>
          <w:p w14:paraId="0D7E13EF" w14:textId="77777777" w:rsidR="005C1CDA" w:rsidRPr="009A7CD7" w:rsidRDefault="005C1CDA">
            <w:pPr>
              <w:jc w:val="center"/>
              <w:rPr>
                <w:sz w:val="22"/>
                <w:szCs w:val="22"/>
              </w:rPr>
            </w:pPr>
            <w:r w:rsidRPr="009A7CD7">
              <w:rPr>
                <w:sz w:val="22"/>
                <w:szCs w:val="22"/>
              </w:rPr>
              <w:t>38</w:t>
            </w:r>
          </w:p>
        </w:tc>
        <w:tc>
          <w:tcPr>
            <w:tcW w:w="1843" w:type="dxa"/>
            <w:tcBorders>
              <w:top w:val="nil"/>
              <w:left w:val="nil"/>
              <w:bottom w:val="single" w:sz="4" w:space="0" w:color="auto"/>
              <w:right w:val="single" w:sz="4" w:space="0" w:color="auto"/>
            </w:tcBorders>
            <w:noWrap/>
            <w:vAlign w:val="bottom"/>
            <w:hideMark/>
          </w:tcPr>
          <w:p w14:paraId="38CF81DB" w14:textId="77777777" w:rsidR="005C1CDA" w:rsidRPr="009A7CD7" w:rsidRDefault="005C1CDA" w:rsidP="006E1DA8">
            <w:pPr>
              <w:jc w:val="center"/>
              <w:rPr>
                <w:color w:val="000000"/>
                <w:sz w:val="22"/>
                <w:szCs w:val="22"/>
              </w:rPr>
            </w:pPr>
            <w:r w:rsidRPr="009A7CD7">
              <w:rPr>
                <w:color w:val="000000"/>
                <w:sz w:val="22"/>
                <w:szCs w:val="22"/>
              </w:rPr>
              <w:t>2.695.709</w:t>
            </w:r>
          </w:p>
        </w:tc>
        <w:tc>
          <w:tcPr>
            <w:tcW w:w="1559" w:type="dxa"/>
            <w:tcBorders>
              <w:top w:val="nil"/>
              <w:left w:val="nil"/>
              <w:bottom w:val="single" w:sz="4" w:space="0" w:color="auto"/>
              <w:right w:val="single" w:sz="4" w:space="0" w:color="auto"/>
            </w:tcBorders>
            <w:noWrap/>
            <w:vAlign w:val="center"/>
            <w:hideMark/>
          </w:tcPr>
          <w:p w14:paraId="0BB573B9" w14:textId="77777777" w:rsidR="005C1CDA" w:rsidRPr="009A7CD7" w:rsidRDefault="005C1CDA" w:rsidP="006E1DA8">
            <w:pPr>
              <w:jc w:val="center"/>
              <w:rPr>
                <w:color w:val="000000"/>
                <w:sz w:val="22"/>
                <w:szCs w:val="22"/>
              </w:rPr>
            </w:pPr>
            <w:r w:rsidRPr="009A7CD7">
              <w:rPr>
                <w:color w:val="000000"/>
                <w:sz w:val="22"/>
                <w:szCs w:val="22"/>
              </w:rPr>
              <w:t>14</w:t>
            </w:r>
          </w:p>
        </w:tc>
        <w:tc>
          <w:tcPr>
            <w:tcW w:w="1985" w:type="dxa"/>
            <w:tcBorders>
              <w:top w:val="nil"/>
              <w:left w:val="nil"/>
              <w:bottom w:val="single" w:sz="4" w:space="0" w:color="auto"/>
              <w:right w:val="single" w:sz="4" w:space="0" w:color="auto"/>
            </w:tcBorders>
            <w:noWrap/>
            <w:vAlign w:val="bottom"/>
            <w:hideMark/>
          </w:tcPr>
          <w:p w14:paraId="4B25266C" w14:textId="77777777" w:rsidR="005C1CDA" w:rsidRPr="009A7CD7" w:rsidRDefault="005C1CDA" w:rsidP="006E1DA8">
            <w:pPr>
              <w:jc w:val="center"/>
              <w:rPr>
                <w:color w:val="000000"/>
                <w:sz w:val="22"/>
                <w:szCs w:val="22"/>
              </w:rPr>
            </w:pPr>
            <w:r w:rsidRPr="009A7CD7">
              <w:rPr>
                <w:color w:val="000000"/>
                <w:sz w:val="22"/>
                <w:szCs w:val="22"/>
              </w:rPr>
              <w:t>1.120.000</w:t>
            </w:r>
          </w:p>
        </w:tc>
      </w:tr>
      <w:tr w:rsidR="005C1CDA" w:rsidRPr="009A7CD7" w14:paraId="7799DC5E" w14:textId="77777777" w:rsidTr="005C1CDA">
        <w:trPr>
          <w:trHeight w:val="310"/>
        </w:trPr>
        <w:tc>
          <w:tcPr>
            <w:tcW w:w="2830" w:type="dxa"/>
            <w:tcBorders>
              <w:top w:val="nil"/>
              <w:left w:val="single" w:sz="4" w:space="0" w:color="auto"/>
              <w:bottom w:val="single" w:sz="4" w:space="0" w:color="auto"/>
              <w:right w:val="single" w:sz="4" w:space="0" w:color="auto"/>
            </w:tcBorders>
            <w:noWrap/>
            <w:vAlign w:val="bottom"/>
            <w:hideMark/>
          </w:tcPr>
          <w:p w14:paraId="09141DA2" w14:textId="77777777" w:rsidR="005C1CDA" w:rsidRPr="009A7CD7" w:rsidRDefault="005C1CDA">
            <w:pPr>
              <w:rPr>
                <w:color w:val="000000"/>
                <w:sz w:val="22"/>
                <w:szCs w:val="22"/>
              </w:rPr>
            </w:pPr>
            <w:r w:rsidRPr="009A7CD7">
              <w:rPr>
                <w:color w:val="000000"/>
                <w:sz w:val="22"/>
                <w:szCs w:val="22"/>
              </w:rPr>
              <w:t>Friuli-Venezia Giulia</w:t>
            </w:r>
          </w:p>
        </w:tc>
        <w:tc>
          <w:tcPr>
            <w:tcW w:w="1843" w:type="dxa"/>
            <w:tcBorders>
              <w:top w:val="nil"/>
              <w:left w:val="nil"/>
              <w:bottom w:val="single" w:sz="4" w:space="0" w:color="auto"/>
              <w:right w:val="single" w:sz="4" w:space="0" w:color="auto"/>
            </w:tcBorders>
            <w:noWrap/>
            <w:vAlign w:val="center"/>
            <w:hideMark/>
          </w:tcPr>
          <w:p w14:paraId="63C18220" w14:textId="77777777" w:rsidR="005C1CDA" w:rsidRPr="009A7CD7" w:rsidRDefault="005C1CDA">
            <w:pPr>
              <w:jc w:val="center"/>
              <w:rPr>
                <w:sz w:val="22"/>
                <w:szCs w:val="22"/>
              </w:rPr>
            </w:pPr>
            <w:r w:rsidRPr="009A7CD7">
              <w:rPr>
                <w:sz w:val="22"/>
                <w:szCs w:val="22"/>
              </w:rPr>
              <w:t>18</w:t>
            </w:r>
          </w:p>
        </w:tc>
        <w:tc>
          <w:tcPr>
            <w:tcW w:w="1843" w:type="dxa"/>
            <w:tcBorders>
              <w:top w:val="nil"/>
              <w:left w:val="nil"/>
              <w:bottom w:val="single" w:sz="4" w:space="0" w:color="auto"/>
              <w:right w:val="single" w:sz="4" w:space="0" w:color="auto"/>
            </w:tcBorders>
            <w:noWrap/>
            <w:vAlign w:val="bottom"/>
            <w:hideMark/>
          </w:tcPr>
          <w:p w14:paraId="11AA0143" w14:textId="77777777" w:rsidR="005C1CDA" w:rsidRPr="009A7CD7" w:rsidRDefault="005C1CDA" w:rsidP="006E1DA8">
            <w:pPr>
              <w:jc w:val="center"/>
              <w:rPr>
                <w:color w:val="000000"/>
                <w:sz w:val="22"/>
                <w:szCs w:val="22"/>
              </w:rPr>
            </w:pPr>
            <w:r w:rsidRPr="009A7CD7">
              <w:rPr>
                <w:color w:val="000000"/>
                <w:sz w:val="22"/>
                <w:szCs w:val="22"/>
              </w:rPr>
              <w:t>703.010</w:t>
            </w:r>
          </w:p>
        </w:tc>
        <w:tc>
          <w:tcPr>
            <w:tcW w:w="1559" w:type="dxa"/>
            <w:tcBorders>
              <w:top w:val="nil"/>
              <w:left w:val="nil"/>
              <w:bottom w:val="single" w:sz="4" w:space="0" w:color="auto"/>
              <w:right w:val="single" w:sz="4" w:space="0" w:color="auto"/>
            </w:tcBorders>
            <w:noWrap/>
            <w:vAlign w:val="center"/>
            <w:hideMark/>
          </w:tcPr>
          <w:p w14:paraId="41FF0F94" w14:textId="77777777" w:rsidR="005C1CDA" w:rsidRPr="009A7CD7" w:rsidRDefault="005C1CDA" w:rsidP="006E1DA8">
            <w:pPr>
              <w:jc w:val="center"/>
              <w:rPr>
                <w:color w:val="000000"/>
                <w:sz w:val="22"/>
                <w:szCs w:val="22"/>
              </w:rPr>
            </w:pPr>
            <w:r w:rsidRPr="009A7CD7">
              <w:rPr>
                <w:color w:val="000000"/>
                <w:sz w:val="22"/>
                <w:szCs w:val="22"/>
              </w:rPr>
              <w:t>4</w:t>
            </w:r>
          </w:p>
        </w:tc>
        <w:tc>
          <w:tcPr>
            <w:tcW w:w="1985" w:type="dxa"/>
            <w:tcBorders>
              <w:top w:val="nil"/>
              <w:left w:val="nil"/>
              <w:bottom w:val="single" w:sz="4" w:space="0" w:color="auto"/>
              <w:right w:val="single" w:sz="4" w:space="0" w:color="auto"/>
            </w:tcBorders>
            <w:noWrap/>
            <w:vAlign w:val="bottom"/>
            <w:hideMark/>
          </w:tcPr>
          <w:p w14:paraId="710568FE" w14:textId="77777777" w:rsidR="005C1CDA" w:rsidRPr="009A7CD7" w:rsidRDefault="005C1CDA" w:rsidP="006E1DA8">
            <w:pPr>
              <w:jc w:val="center"/>
              <w:rPr>
                <w:color w:val="000000"/>
                <w:sz w:val="22"/>
                <w:szCs w:val="22"/>
              </w:rPr>
            </w:pPr>
            <w:r w:rsidRPr="009A7CD7">
              <w:rPr>
                <w:color w:val="000000"/>
                <w:sz w:val="22"/>
                <w:szCs w:val="22"/>
              </w:rPr>
              <w:t>320.000</w:t>
            </w:r>
          </w:p>
        </w:tc>
      </w:tr>
      <w:tr w:rsidR="005C1CDA" w:rsidRPr="009A7CD7" w14:paraId="585C6E77" w14:textId="77777777" w:rsidTr="005C1CDA">
        <w:trPr>
          <w:trHeight w:val="310"/>
        </w:trPr>
        <w:tc>
          <w:tcPr>
            <w:tcW w:w="2830" w:type="dxa"/>
            <w:tcBorders>
              <w:top w:val="nil"/>
              <w:left w:val="single" w:sz="4" w:space="0" w:color="auto"/>
              <w:bottom w:val="single" w:sz="4" w:space="0" w:color="auto"/>
              <w:right w:val="single" w:sz="4" w:space="0" w:color="auto"/>
            </w:tcBorders>
            <w:noWrap/>
            <w:vAlign w:val="bottom"/>
            <w:hideMark/>
          </w:tcPr>
          <w:p w14:paraId="64A80B57" w14:textId="77777777" w:rsidR="005C1CDA" w:rsidRPr="009A7CD7" w:rsidRDefault="005C1CDA">
            <w:pPr>
              <w:rPr>
                <w:color w:val="000000"/>
                <w:sz w:val="22"/>
                <w:szCs w:val="22"/>
              </w:rPr>
            </w:pPr>
            <w:r w:rsidRPr="009A7CD7">
              <w:rPr>
                <w:color w:val="000000"/>
                <w:sz w:val="22"/>
                <w:szCs w:val="22"/>
              </w:rPr>
              <w:t>Lazio</w:t>
            </w:r>
          </w:p>
        </w:tc>
        <w:tc>
          <w:tcPr>
            <w:tcW w:w="1843" w:type="dxa"/>
            <w:tcBorders>
              <w:top w:val="nil"/>
              <w:left w:val="nil"/>
              <w:bottom w:val="single" w:sz="4" w:space="0" w:color="auto"/>
              <w:right w:val="single" w:sz="4" w:space="0" w:color="auto"/>
            </w:tcBorders>
            <w:noWrap/>
            <w:vAlign w:val="center"/>
            <w:hideMark/>
          </w:tcPr>
          <w:p w14:paraId="1DC7F8ED" w14:textId="77777777" w:rsidR="005C1CDA" w:rsidRPr="009A7CD7" w:rsidRDefault="005C1CDA">
            <w:pPr>
              <w:jc w:val="center"/>
              <w:rPr>
                <w:sz w:val="22"/>
                <w:szCs w:val="22"/>
              </w:rPr>
            </w:pPr>
            <w:r w:rsidRPr="009A7CD7">
              <w:rPr>
                <w:sz w:val="22"/>
                <w:szCs w:val="22"/>
              </w:rPr>
              <w:t>37</w:t>
            </w:r>
          </w:p>
        </w:tc>
        <w:tc>
          <w:tcPr>
            <w:tcW w:w="1843" w:type="dxa"/>
            <w:tcBorders>
              <w:top w:val="nil"/>
              <w:left w:val="nil"/>
              <w:bottom w:val="single" w:sz="4" w:space="0" w:color="auto"/>
              <w:right w:val="single" w:sz="4" w:space="0" w:color="auto"/>
            </w:tcBorders>
            <w:noWrap/>
            <w:vAlign w:val="bottom"/>
            <w:hideMark/>
          </w:tcPr>
          <w:p w14:paraId="1BA55A4A" w14:textId="77777777" w:rsidR="005C1CDA" w:rsidRPr="009A7CD7" w:rsidRDefault="005C1CDA" w:rsidP="006E1DA8">
            <w:pPr>
              <w:jc w:val="center"/>
              <w:rPr>
                <w:color w:val="000000"/>
                <w:sz w:val="22"/>
                <w:szCs w:val="22"/>
              </w:rPr>
            </w:pPr>
            <w:r w:rsidRPr="009A7CD7">
              <w:rPr>
                <w:color w:val="000000"/>
                <w:sz w:val="22"/>
                <w:szCs w:val="22"/>
              </w:rPr>
              <w:t>3.498.461</w:t>
            </w:r>
          </w:p>
        </w:tc>
        <w:tc>
          <w:tcPr>
            <w:tcW w:w="1559" w:type="dxa"/>
            <w:tcBorders>
              <w:top w:val="nil"/>
              <w:left w:val="nil"/>
              <w:bottom w:val="single" w:sz="4" w:space="0" w:color="auto"/>
              <w:right w:val="single" w:sz="4" w:space="0" w:color="auto"/>
            </w:tcBorders>
            <w:noWrap/>
            <w:vAlign w:val="center"/>
            <w:hideMark/>
          </w:tcPr>
          <w:p w14:paraId="31859995" w14:textId="77777777" w:rsidR="005C1CDA" w:rsidRPr="009A7CD7" w:rsidRDefault="005C1CDA" w:rsidP="006E1DA8">
            <w:pPr>
              <w:jc w:val="center"/>
              <w:rPr>
                <w:color w:val="000000"/>
                <w:sz w:val="22"/>
                <w:szCs w:val="22"/>
              </w:rPr>
            </w:pPr>
            <w:r w:rsidRPr="009A7CD7">
              <w:rPr>
                <w:color w:val="000000"/>
                <w:sz w:val="22"/>
                <w:szCs w:val="22"/>
              </w:rPr>
              <w:t>18</w:t>
            </w:r>
          </w:p>
        </w:tc>
        <w:tc>
          <w:tcPr>
            <w:tcW w:w="1985" w:type="dxa"/>
            <w:tcBorders>
              <w:top w:val="nil"/>
              <w:left w:val="nil"/>
              <w:bottom w:val="single" w:sz="4" w:space="0" w:color="auto"/>
              <w:right w:val="single" w:sz="4" w:space="0" w:color="auto"/>
            </w:tcBorders>
            <w:noWrap/>
            <w:vAlign w:val="bottom"/>
            <w:hideMark/>
          </w:tcPr>
          <w:p w14:paraId="6D61B4A7" w14:textId="77777777" w:rsidR="005C1CDA" w:rsidRPr="009A7CD7" w:rsidRDefault="005C1CDA" w:rsidP="006E1DA8">
            <w:pPr>
              <w:jc w:val="center"/>
              <w:rPr>
                <w:color w:val="000000"/>
                <w:sz w:val="22"/>
                <w:szCs w:val="22"/>
              </w:rPr>
            </w:pPr>
            <w:r w:rsidRPr="009A7CD7">
              <w:rPr>
                <w:color w:val="000000"/>
                <w:sz w:val="22"/>
                <w:szCs w:val="22"/>
              </w:rPr>
              <w:t>1.440.000</w:t>
            </w:r>
          </w:p>
        </w:tc>
      </w:tr>
      <w:tr w:rsidR="005C1CDA" w:rsidRPr="009A7CD7" w14:paraId="006C92C1" w14:textId="77777777" w:rsidTr="005C1CDA">
        <w:trPr>
          <w:trHeight w:val="310"/>
        </w:trPr>
        <w:tc>
          <w:tcPr>
            <w:tcW w:w="2830" w:type="dxa"/>
            <w:tcBorders>
              <w:top w:val="nil"/>
              <w:left w:val="single" w:sz="4" w:space="0" w:color="auto"/>
              <w:bottom w:val="single" w:sz="4" w:space="0" w:color="auto"/>
              <w:right w:val="single" w:sz="4" w:space="0" w:color="auto"/>
            </w:tcBorders>
            <w:noWrap/>
            <w:vAlign w:val="bottom"/>
            <w:hideMark/>
          </w:tcPr>
          <w:p w14:paraId="6D06B88C" w14:textId="77777777" w:rsidR="005C1CDA" w:rsidRPr="009A7CD7" w:rsidRDefault="005C1CDA">
            <w:pPr>
              <w:rPr>
                <w:color w:val="000000"/>
                <w:sz w:val="22"/>
                <w:szCs w:val="22"/>
              </w:rPr>
            </w:pPr>
            <w:r w:rsidRPr="009A7CD7">
              <w:rPr>
                <w:color w:val="000000"/>
                <w:sz w:val="22"/>
                <w:szCs w:val="22"/>
              </w:rPr>
              <w:t>Liguria</w:t>
            </w:r>
          </w:p>
        </w:tc>
        <w:tc>
          <w:tcPr>
            <w:tcW w:w="1843" w:type="dxa"/>
            <w:tcBorders>
              <w:top w:val="nil"/>
              <w:left w:val="nil"/>
              <w:bottom w:val="single" w:sz="4" w:space="0" w:color="auto"/>
              <w:right w:val="single" w:sz="4" w:space="0" w:color="auto"/>
            </w:tcBorders>
            <w:noWrap/>
            <w:vAlign w:val="center"/>
            <w:hideMark/>
          </w:tcPr>
          <w:p w14:paraId="35E2D396" w14:textId="77777777" w:rsidR="005C1CDA" w:rsidRPr="009A7CD7" w:rsidRDefault="005C1CDA">
            <w:pPr>
              <w:jc w:val="center"/>
              <w:rPr>
                <w:sz w:val="22"/>
                <w:szCs w:val="22"/>
              </w:rPr>
            </w:pPr>
            <w:r w:rsidRPr="009A7CD7">
              <w:rPr>
                <w:sz w:val="22"/>
                <w:szCs w:val="22"/>
              </w:rPr>
              <w:t>18</w:t>
            </w:r>
          </w:p>
        </w:tc>
        <w:tc>
          <w:tcPr>
            <w:tcW w:w="1843" w:type="dxa"/>
            <w:tcBorders>
              <w:top w:val="nil"/>
              <w:left w:val="nil"/>
              <w:bottom w:val="single" w:sz="4" w:space="0" w:color="auto"/>
              <w:right w:val="single" w:sz="4" w:space="0" w:color="auto"/>
            </w:tcBorders>
            <w:noWrap/>
            <w:vAlign w:val="bottom"/>
            <w:hideMark/>
          </w:tcPr>
          <w:p w14:paraId="59DBFDBA" w14:textId="77777777" w:rsidR="005C1CDA" w:rsidRPr="009A7CD7" w:rsidRDefault="005C1CDA" w:rsidP="006E1DA8">
            <w:pPr>
              <w:jc w:val="center"/>
              <w:rPr>
                <w:color w:val="000000"/>
                <w:sz w:val="22"/>
                <w:szCs w:val="22"/>
              </w:rPr>
            </w:pPr>
            <w:r w:rsidRPr="009A7CD7">
              <w:rPr>
                <w:color w:val="000000"/>
                <w:sz w:val="22"/>
                <w:szCs w:val="22"/>
              </w:rPr>
              <w:t>873.766</w:t>
            </w:r>
          </w:p>
        </w:tc>
        <w:tc>
          <w:tcPr>
            <w:tcW w:w="1559" w:type="dxa"/>
            <w:tcBorders>
              <w:top w:val="nil"/>
              <w:left w:val="nil"/>
              <w:bottom w:val="single" w:sz="4" w:space="0" w:color="auto"/>
              <w:right w:val="single" w:sz="4" w:space="0" w:color="auto"/>
            </w:tcBorders>
            <w:noWrap/>
            <w:vAlign w:val="center"/>
            <w:hideMark/>
          </w:tcPr>
          <w:p w14:paraId="67A1B969" w14:textId="77777777" w:rsidR="005C1CDA" w:rsidRPr="009A7CD7" w:rsidRDefault="005C1CDA" w:rsidP="006E1DA8">
            <w:pPr>
              <w:jc w:val="center"/>
              <w:rPr>
                <w:color w:val="000000"/>
                <w:sz w:val="22"/>
                <w:szCs w:val="22"/>
              </w:rPr>
            </w:pPr>
            <w:r w:rsidRPr="009A7CD7">
              <w:rPr>
                <w:color w:val="000000"/>
                <w:sz w:val="22"/>
                <w:szCs w:val="22"/>
              </w:rPr>
              <w:t>5</w:t>
            </w:r>
          </w:p>
        </w:tc>
        <w:tc>
          <w:tcPr>
            <w:tcW w:w="1985" w:type="dxa"/>
            <w:tcBorders>
              <w:top w:val="nil"/>
              <w:left w:val="nil"/>
              <w:bottom w:val="single" w:sz="4" w:space="0" w:color="auto"/>
              <w:right w:val="single" w:sz="4" w:space="0" w:color="auto"/>
            </w:tcBorders>
            <w:noWrap/>
            <w:vAlign w:val="bottom"/>
            <w:hideMark/>
          </w:tcPr>
          <w:p w14:paraId="4252E01D" w14:textId="77777777" w:rsidR="005C1CDA" w:rsidRPr="009A7CD7" w:rsidRDefault="005C1CDA" w:rsidP="006E1DA8">
            <w:pPr>
              <w:jc w:val="center"/>
              <w:rPr>
                <w:color w:val="000000"/>
                <w:sz w:val="22"/>
                <w:szCs w:val="22"/>
              </w:rPr>
            </w:pPr>
            <w:r w:rsidRPr="009A7CD7">
              <w:rPr>
                <w:color w:val="000000"/>
                <w:sz w:val="22"/>
                <w:szCs w:val="22"/>
              </w:rPr>
              <w:t>400.000</w:t>
            </w:r>
          </w:p>
        </w:tc>
      </w:tr>
      <w:tr w:rsidR="005C1CDA" w:rsidRPr="009A7CD7" w14:paraId="593F036A" w14:textId="77777777" w:rsidTr="005C1CDA">
        <w:trPr>
          <w:trHeight w:val="310"/>
        </w:trPr>
        <w:tc>
          <w:tcPr>
            <w:tcW w:w="2830" w:type="dxa"/>
            <w:tcBorders>
              <w:top w:val="nil"/>
              <w:left w:val="single" w:sz="4" w:space="0" w:color="auto"/>
              <w:bottom w:val="single" w:sz="4" w:space="0" w:color="auto"/>
              <w:right w:val="single" w:sz="4" w:space="0" w:color="auto"/>
            </w:tcBorders>
            <w:noWrap/>
            <w:vAlign w:val="bottom"/>
            <w:hideMark/>
          </w:tcPr>
          <w:p w14:paraId="60469DE6" w14:textId="77777777" w:rsidR="005C1CDA" w:rsidRPr="009A7CD7" w:rsidRDefault="005C1CDA">
            <w:pPr>
              <w:rPr>
                <w:color w:val="000000"/>
                <w:sz w:val="22"/>
                <w:szCs w:val="22"/>
              </w:rPr>
            </w:pPr>
            <w:r w:rsidRPr="009A7CD7">
              <w:rPr>
                <w:color w:val="000000"/>
                <w:sz w:val="22"/>
                <w:szCs w:val="22"/>
              </w:rPr>
              <w:t>Lombardia</w:t>
            </w:r>
          </w:p>
        </w:tc>
        <w:tc>
          <w:tcPr>
            <w:tcW w:w="1843" w:type="dxa"/>
            <w:tcBorders>
              <w:top w:val="nil"/>
              <w:left w:val="nil"/>
              <w:bottom w:val="single" w:sz="4" w:space="0" w:color="auto"/>
              <w:right w:val="single" w:sz="4" w:space="0" w:color="auto"/>
            </w:tcBorders>
            <w:noWrap/>
            <w:vAlign w:val="center"/>
            <w:hideMark/>
          </w:tcPr>
          <w:p w14:paraId="10246BB5" w14:textId="77777777" w:rsidR="005C1CDA" w:rsidRPr="009A7CD7" w:rsidRDefault="005C1CDA">
            <w:pPr>
              <w:jc w:val="center"/>
              <w:rPr>
                <w:sz w:val="22"/>
                <w:szCs w:val="22"/>
              </w:rPr>
            </w:pPr>
            <w:r w:rsidRPr="009A7CD7">
              <w:rPr>
                <w:sz w:val="22"/>
                <w:szCs w:val="22"/>
              </w:rPr>
              <w:t>91</w:t>
            </w:r>
          </w:p>
        </w:tc>
        <w:tc>
          <w:tcPr>
            <w:tcW w:w="1843" w:type="dxa"/>
            <w:tcBorders>
              <w:top w:val="nil"/>
              <w:left w:val="nil"/>
              <w:bottom w:val="single" w:sz="4" w:space="0" w:color="auto"/>
              <w:right w:val="single" w:sz="4" w:space="0" w:color="auto"/>
            </w:tcBorders>
            <w:noWrap/>
            <w:vAlign w:val="bottom"/>
            <w:hideMark/>
          </w:tcPr>
          <w:p w14:paraId="6044B3F4" w14:textId="77777777" w:rsidR="005C1CDA" w:rsidRPr="009A7CD7" w:rsidRDefault="005C1CDA" w:rsidP="006E1DA8">
            <w:pPr>
              <w:jc w:val="center"/>
              <w:rPr>
                <w:color w:val="000000"/>
                <w:sz w:val="22"/>
                <w:szCs w:val="22"/>
              </w:rPr>
            </w:pPr>
            <w:r w:rsidRPr="009A7CD7">
              <w:rPr>
                <w:color w:val="000000"/>
                <w:sz w:val="22"/>
                <w:szCs w:val="22"/>
              </w:rPr>
              <w:t>6.113.059</w:t>
            </w:r>
          </w:p>
        </w:tc>
        <w:tc>
          <w:tcPr>
            <w:tcW w:w="1559" w:type="dxa"/>
            <w:tcBorders>
              <w:top w:val="nil"/>
              <w:left w:val="nil"/>
              <w:bottom w:val="single" w:sz="4" w:space="0" w:color="auto"/>
              <w:right w:val="single" w:sz="4" w:space="0" w:color="auto"/>
            </w:tcBorders>
            <w:noWrap/>
            <w:vAlign w:val="center"/>
            <w:hideMark/>
          </w:tcPr>
          <w:p w14:paraId="46B87021" w14:textId="77777777" w:rsidR="005C1CDA" w:rsidRPr="009A7CD7" w:rsidRDefault="005C1CDA" w:rsidP="006E1DA8">
            <w:pPr>
              <w:jc w:val="center"/>
              <w:rPr>
                <w:color w:val="000000"/>
                <w:sz w:val="22"/>
                <w:szCs w:val="22"/>
              </w:rPr>
            </w:pPr>
            <w:r w:rsidRPr="009A7CD7">
              <w:rPr>
                <w:color w:val="000000"/>
                <w:sz w:val="22"/>
                <w:szCs w:val="22"/>
              </w:rPr>
              <w:t>31</w:t>
            </w:r>
          </w:p>
        </w:tc>
        <w:tc>
          <w:tcPr>
            <w:tcW w:w="1985" w:type="dxa"/>
            <w:tcBorders>
              <w:top w:val="nil"/>
              <w:left w:val="nil"/>
              <w:bottom w:val="single" w:sz="4" w:space="0" w:color="auto"/>
              <w:right w:val="single" w:sz="4" w:space="0" w:color="auto"/>
            </w:tcBorders>
            <w:noWrap/>
            <w:vAlign w:val="bottom"/>
            <w:hideMark/>
          </w:tcPr>
          <w:p w14:paraId="2CB28FAF" w14:textId="77777777" w:rsidR="005C1CDA" w:rsidRPr="009A7CD7" w:rsidRDefault="005C1CDA" w:rsidP="006E1DA8">
            <w:pPr>
              <w:jc w:val="center"/>
              <w:rPr>
                <w:color w:val="000000"/>
                <w:sz w:val="22"/>
                <w:szCs w:val="22"/>
              </w:rPr>
            </w:pPr>
            <w:r w:rsidRPr="009A7CD7">
              <w:rPr>
                <w:color w:val="000000"/>
                <w:sz w:val="22"/>
                <w:szCs w:val="22"/>
              </w:rPr>
              <w:t>2.480.000</w:t>
            </w:r>
          </w:p>
        </w:tc>
      </w:tr>
      <w:tr w:rsidR="005C1CDA" w:rsidRPr="009A7CD7" w14:paraId="2A04C26C" w14:textId="77777777" w:rsidTr="005C1CDA">
        <w:trPr>
          <w:trHeight w:val="310"/>
        </w:trPr>
        <w:tc>
          <w:tcPr>
            <w:tcW w:w="2830" w:type="dxa"/>
            <w:tcBorders>
              <w:top w:val="nil"/>
              <w:left w:val="single" w:sz="4" w:space="0" w:color="auto"/>
              <w:bottom w:val="single" w:sz="4" w:space="0" w:color="auto"/>
              <w:right w:val="single" w:sz="4" w:space="0" w:color="auto"/>
            </w:tcBorders>
            <w:noWrap/>
            <w:vAlign w:val="bottom"/>
            <w:hideMark/>
          </w:tcPr>
          <w:p w14:paraId="6172E75A" w14:textId="77777777" w:rsidR="005C1CDA" w:rsidRPr="009A7CD7" w:rsidRDefault="005C1CDA">
            <w:pPr>
              <w:rPr>
                <w:color w:val="000000"/>
                <w:sz w:val="22"/>
                <w:szCs w:val="22"/>
              </w:rPr>
            </w:pPr>
            <w:r w:rsidRPr="009A7CD7">
              <w:rPr>
                <w:color w:val="000000"/>
                <w:sz w:val="22"/>
                <w:szCs w:val="22"/>
              </w:rPr>
              <w:t>Marche</w:t>
            </w:r>
          </w:p>
        </w:tc>
        <w:tc>
          <w:tcPr>
            <w:tcW w:w="1843" w:type="dxa"/>
            <w:tcBorders>
              <w:top w:val="nil"/>
              <w:left w:val="nil"/>
              <w:bottom w:val="single" w:sz="4" w:space="0" w:color="auto"/>
              <w:right w:val="single" w:sz="4" w:space="0" w:color="auto"/>
            </w:tcBorders>
            <w:noWrap/>
            <w:vAlign w:val="center"/>
            <w:hideMark/>
          </w:tcPr>
          <w:p w14:paraId="10224C7A" w14:textId="77777777" w:rsidR="005C1CDA" w:rsidRPr="009A7CD7" w:rsidRDefault="005C1CDA">
            <w:pPr>
              <w:jc w:val="center"/>
              <w:rPr>
                <w:sz w:val="22"/>
                <w:szCs w:val="22"/>
              </w:rPr>
            </w:pPr>
            <w:r w:rsidRPr="009A7CD7">
              <w:rPr>
                <w:sz w:val="22"/>
                <w:szCs w:val="22"/>
              </w:rPr>
              <w:t>23</w:t>
            </w:r>
          </w:p>
        </w:tc>
        <w:tc>
          <w:tcPr>
            <w:tcW w:w="1843" w:type="dxa"/>
            <w:tcBorders>
              <w:top w:val="nil"/>
              <w:left w:val="nil"/>
              <w:bottom w:val="single" w:sz="4" w:space="0" w:color="auto"/>
              <w:right w:val="single" w:sz="4" w:space="0" w:color="auto"/>
            </w:tcBorders>
            <w:noWrap/>
            <w:vAlign w:val="bottom"/>
            <w:hideMark/>
          </w:tcPr>
          <w:p w14:paraId="0EDCA390" w14:textId="77777777" w:rsidR="005C1CDA" w:rsidRPr="009A7CD7" w:rsidRDefault="005C1CDA" w:rsidP="006E1DA8">
            <w:pPr>
              <w:jc w:val="center"/>
              <w:rPr>
                <w:color w:val="000000"/>
                <w:sz w:val="22"/>
                <w:szCs w:val="22"/>
              </w:rPr>
            </w:pPr>
            <w:r w:rsidRPr="009A7CD7">
              <w:rPr>
                <w:color w:val="000000"/>
                <w:sz w:val="22"/>
                <w:szCs w:val="22"/>
              </w:rPr>
              <w:t>878.074</w:t>
            </w:r>
          </w:p>
        </w:tc>
        <w:tc>
          <w:tcPr>
            <w:tcW w:w="1559" w:type="dxa"/>
            <w:tcBorders>
              <w:top w:val="nil"/>
              <w:left w:val="nil"/>
              <w:bottom w:val="single" w:sz="4" w:space="0" w:color="auto"/>
              <w:right w:val="single" w:sz="4" w:space="0" w:color="auto"/>
            </w:tcBorders>
            <w:noWrap/>
            <w:vAlign w:val="center"/>
            <w:hideMark/>
          </w:tcPr>
          <w:p w14:paraId="417B8A7A" w14:textId="77777777" w:rsidR="005C1CDA" w:rsidRPr="009A7CD7" w:rsidRDefault="005C1CDA" w:rsidP="006E1DA8">
            <w:pPr>
              <w:jc w:val="center"/>
              <w:rPr>
                <w:color w:val="000000"/>
                <w:sz w:val="22"/>
                <w:szCs w:val="22"/>
              </w:rPr>
            </w:pPr>
            <w:r w:rsidRPr="009A7CD7">
              <w:rPr>
                <w:color w:val="000000"/>
                <w:sz w:val="22"/>
                <w:szCs w:val="22"/>
              </w:rPr>
              <w:t>5</w:t>
            </w:r>
          </w:p>
        </w:tc>
        <w:tc>
          <w:tcPr>
            <w:tcW w:w="1985" w:type="dxa"/>
            <w:tcBorders>
              <w:top w:val="nil"/>
              <w:left w:val="nil"/>
              <w:bottom w:val="single" w:sz="4" w:space="0" w:color="auto"/>
              <w:right w:val="single" w:sz="4" w:space="0" w:color="auto"/>
            </w:tcBorders>
            <w:noWrap/>
            <w:vAlign w:val="bottom"/>
            <w:hideMark/>
          </w:tcPr>
          <w:p w14:paraId="3B7C48E1" w14:textId="77777777" w:rsidR="005C1CDA" w:rsidRPr="009A7CD7" w:rsidRDefault="005C1CDA" w:rsidP="006E1DA8">
            <w:pPr>
              <w:jc w:val="center"/>
              <w:rPr>
                <w:color w:val="000000"/>
                <w:sz w:val="22"/>
                <w:szCs w:val="22"/>
              </w:rPr>
            </w:pPr>
            <w:r w:rsidRPr="009A7CD7">
              <w:rPr>
                <w:color w:val="000000"/>
                <w:sz w:val="22"/>
                <w:szCs w:val="22"/>
              </w:rPr>
              <w:t>400.000</w:t>
            </w:r>
          </w:p>
        </w:tc>
      </w:tr>
      <w:tr w:rsidR="005C1CDA" w:rsidRPr="009A7CD7" w14:paraId="0F12CDB6" w14:textId="77777777" w:rsidTr="005C1CDA">
        <w:trPr>
          <w:trHeight w:val="310"/>
        </w:trPr>
        <w:tc>
          <w:tcPr>
            <w:tcW w:w="2830" w:type="dxa"/>
            <w:tcBorders>
              <w:top w:val="nil"/>
              <w:left w:val="single" w:sz="4" w:space="0" w:color="auto"/>
              <w:bottom w:val="single" w:sz="4" w:space="0" w:color="auto"/>
              <w:right w:val="single" w:sz="4" w:space="0" w:color="auto"/>
            </w:tcBorders>
            <w:noWrap/>
            <w:vAlign w:val="bottom"/>
            <w:hideMark/>
          </w:tcPr>
          <w:p w14:paraId="13A3652E" w14:textId="77777777" w:rsidR="005C1CDA" w:rsidRPr="009A7CD7" w:rsidRDefault="005C1CDA">
            <w:pPr>
              <w:rPr>
                <w:color w:val="000000"/>
                <w:sz w:val="22"/>
                <w:szCs w:val="22"/>
              </w:rPr>
            </w:pPr>
            <w:r w:rsidRPr="009A7CD7">
              <w:rPr>
                <w:color w:val="000000"/>
                <w:sz w:val="22"/>
                <w:szCs w:val="22"/>
              </w:rPr>
              <w:t>Molise</w:t>
            </w:r>
          </w:p>
        </w:tc>
        <w:tc>
          <w:tcPr>
            <w:tcW w:w="1843" w:type="dxa"/>
            <w:tcBorders>
              <w:top w:val="nil"/>
              <w:left w:val="nil"/>
              <w:bottom w:val="single" w:sz="4" w:space="0" w:color="auto"/>
              <w:right w:val="single" w:sz="4" w:space="0" w:color="auto"/>
            </w:tcBorders>
            <w:noWrap/>
            <w:vAlign w:val="center"/>
            <w:hideMark/>
          </w:tcPr>
          <w:p w14:paraId="7E6D552C" w14:textId="77777777" w:rsidR="005C1CDA" w:rsidRPr="009A7CD7" w:rsidRDefault="005C1CDA">
            <w:pPr>
              <w:jc w:val="center"/>
              <w:rPr>
                <w:sz w:val="22"/>
                <w:szCs w:val="22"/>
              </w:rPr>
            </w:pPr>
            <w:r w:rsidRPr="009A7CD7">
              <w:rPr>
                <w:sz w:val="22"/>
                <w:szCs w:val="22"/>
              </w:rPr>
              <w:t>7</w:t>
            </w:r>
          </w:p>
        </w:tc>
        <w:tc>
          <w:tcPr>
            <w:tcW w:w="1843" w:type="dxa"/>
            <w:tcBorders>
              <w:top w:val="nil"/>
              <w:left w:val="nil"/>
              <w:bottom w:val="single" w:sz="4" w:space="0" w:color="auto"/>
              <w:right w:val="single" w:sz="4" w:space="0" w:color="auto"/>
            </w:tcBorders>
            <w:noWrap/>
            <w:vAlign w:val="bottom"/>
            <w:hideMark/>
          </w:tcPr>
          <w:p w14:paraId="4369736B" w14:textId="77777777" w:rsidR="005C1CDA" w:rsidRPr="009A7CD7" w:rsidRDefault="005C1CDA" w:rsidP="006E1DA8">
            <w:pPr>
              <w:jc w:val="center"/>
              <w:rPr>
                <w:color w:val="000000"/>
                <w:sz w:val="22"/>
                <w:szCs w:val="22"/>
              </w:rPr>
            </w:pPr>
            <w:r w:rsidRPr="009A7CD7">
              <w:rPr>
                <w:color w:val="000000"/>
                <w:sz w:val="22"/>
                <w:szCs w:val="22"/>
              </w:rPr>
              <w:t>172.236</w:t>
            </w:r>
          </w:p>
        </w:tc>
        <w:tc>
          <w:tcPr>
            <w:tcW w:w="1559" w:type="dxa"/>
            <w:tcBorders>
              <w:top w:val="nil"/>
              <w:left w:val="nil"/>
              <w:bottom w:val="single" w:sz="4" w:space="0" w:color="auto"/>
              <w:right w:val="single" w:sz="4" w:space="0" w:color="auto"/>
            </w:tcBorders>
            <w:noWrap/>
            <w:vAlign w:val="center"/>
            <w:hideMark/>
          </w:tcPr>
          <w:p w14:paraId="3F7DA238" w14:textId="77777777" w:rsidR="005C1CDA" w:rsidRPr="009A7CD7" w:rsidRDefault="005C1CDA" w:rsidP="006E1DA8">
            <w:pPr>
              <w:jc w:val="center"/>
              <w:rPr>
                <w:color w:val="000000"/>
                <w:sz w:val="22"/>
                <w:szCs w:val="22"/>
              </w:rPr>
            </w:pPr>
            <w:r w:rsidRPr="009A7CD7">
              <w:rPr>
                <w:color w:val="000000"/>
                <w:sz w:val="22"/>
                <w:szCs w:val="22"/>
              </w:rPr>
              <w:t>1</w:t>
            </w:r>
          </w:p>
        </w:tc>
        <w:tc>
          <w:tcPr>
            <w:tcW w:w="1985" w:type="dxa"/>
            <w:tcBorders>
              <w:top w:val="nil"/>
              <w:left w:val="nil"/>
              <w:bottom w:val="single" w:sz="4" w:space="0" w:color="auto"/>
              <w:right w:val="single" w:sz="4" w:space="0" w:color="auto"/>
            </w:tcBorders>
            <w:noWrap/>
            <w:vAlign w:val="bottom"/>
            <w:hideMark/>
          </w:tcPr>
          <w:p w14:paraId="51C509B9" w14:textId="77777777" w:rsidR="005C1CDA" w:rsidRPr="009A7CD7" w:rsidRDefault="005C1CDA" w:rsidP="006E1DA8">
            <w:pPr>
              <w:jc w:val="center"/>
              <w:rPr>
                <w:color w:val="000000"/>
                <w:sz w:val="22"/>
                <w:szCs w:val="22"/>
              </w:rPr>
            </w:pPr>
            <w:r w:rsidRPr="009A7CD7">
              <w:rPr>
                <w:color w:val="000000"/>
                <w:sz w:val="22"/>
                <w:szCs w:val="22"/>
              </w:rPr>
              <w:t>80.000</w:t>
            </w:r>
          </w:p>
        </w:tc>
      </w:tr>
      <w:tr w:rsidR="005C1CDA" w:rsidRPr="009A7CD7" w14:paraId="69404C1A" w14:textId="77777777" w:rsidTr="005C1CDA">
        <w:trPr>
          <w:trHeight w:val="310"/>
        </w:trPr>
        <w:tc>
          <w:tcPr>
            <w:tcW w:w="2830" w:type="dxa"/>
            <w:tcBorders>
              <w:top w:val="nil"/>
              <w:left w:val="single" w:sz="4" w:space="0" w:color="auto"/>
              <w:bottom w:val="single" w:sz="4" w:space="0" w:color="auto"/>
              <w:right w:val="single" w:sz="4" w:space="0" w:color="auto"/>
            </w:tcBorders>
            <w:noWrap/>
            <w:vAlign w:val="bottom"/>
            <w:hideMark/>
          </w:tcPr>
          <w:p w14:paraId="5F6A67E0" w14:textId="77777777" w:rsidR="005C1CDA" w:rsidRPr="009A7CD7" w:rsidRDefault="005C1CDA">
            <w:pPr>
              <w:rPr>
                <w:color w:val="000000"/>
                <w:sz w:val="22"/>
                <w:szCs w:val="22"/>
              </w:rPr>
            </w:pPr>
            <w:r w:rsidRPr="009A7CD7">
              <w:rPr>
                <w:color w:val="000000"/>
                <w:sz w:val="22"/>
                <w:szCs w:val="22"/>
              </w:rPr>
              <w:t>Piemonte</w:t>
            </w:r>
          </w:p>
        </w:tc>
        <w:tc>
          <w:tcPr>
            <w:tcW w:w="1843" w:type="dxa"/>
            <w:tcBorders>
              <w:top w:val="nil"/>
              <w:left w:val="nil"/>
              <w:bottom w:val="single" w:sz="4" w:space="0" w:color="auto"/>
              <w:right w:val="single" w:sz="4" w:space="0" w:color="auto"/>
            </w:tcBorders>
            <w:noWrap/>
            <w:vAlign w:val="center"/>
            <w:hideMark/>
          </w:tcPr>
          <w:p w14:paraId="101FF563" w14:textId="77777777" w:rsidR="005C1CDA" w:rsidRPr="009A7CD7" w:rsidRDefault="005C1CDA">
            <w:pPr>
              <w:jc w:val="center"/>
              <w:rPr>
                <w:sz w:val="22"/>
                <w:szCs w:val="22"/>
              </w:rPr>
            </w:pPr>
            <w:r w:rsidRPr="009A7CD7">
              <w:rPr>
                <w:sz w:val="22"/>
                <w:szCs w:val="22"/>
              </w:rPr>
              <w:t>40</w:t>
            </w:r>
          </w:p>
        </w:tc>
        <w:tc>
          <w:tcPr>
            <w:tcW w:w="1843" w:type="dxa"/>
            <w:tcBorders>
              <w:top w:val="nil"/>
              <w:left w:val="nil"/>
              <w:bottom w:val="single" w:sz="4" w:space="0" w:color="auto"/>
              <w:right w:val="single" w:sz="4" w:space="0" w:color="auto"/>
            </w:tcBorders>
            <w:noWrap/>
            <w:vAlign w:val="bottom"/>
            <w:hideMark/>
          </w:tcPr>
          <w:p w14:paraId="351597DB" w14:textId="77777777" w:rsidR="005C1CDA" w:rsidRPr="009A7CD7" w:rsidRDefault="005C1CDA" w:rsidP="006E1DA8">
            <w:pPr>
              <w:jc w:val="center"/>
              <w:rPr>
                <w:color w:val="000000"/>
                <w:sz w:val="22"/>
                <w:szCs w:val="22"/>
              </w:rPr>
            </w:pPr>
            <w:r w:rsidRPr="009A7CD7">
              <w:rPr>
                <w:color w:val="000000"/>
                <w:sz w:val="22"/>
                <w:szCs w:val="22"/>
              </w:rPr>
              <w:t>2.516.475</w:t>
            </w:r>
          </w:p>
        </w:tc>
        <w:tc>
          <w:tcPr>
            <w:tcW w:w="1559" w:type="dxa"/>
            <w:tcBorders>
              <w:top w:val="nil"/>
              <w:left w:val="nil"/>
              <w:bottom w:val="single" w:sz="4" w:space="0" w:color="auto"/>
              <w:right w:val="single" w:sz="4" w:space="0" w:color="auto"/>
            </w:tcBorders>
            <w:noWrap/>
            <w:vAlign w:val="center"/>
            <w:hideMark/>
          </w:tcPr>
          <w:p w14:paraId="186F6B93" w14:textId="77777777" w:rsidR="005C1CDA" w:rsidRPr="009A7CD7" w:rsidRDefault="005C1CDA" w:rsidP="006E1DA8">
            <w:pPr>
              <w:jc w:val="center"/>
              <w:rPr>
                <w:color w:val="000000"/>
                <w:sz w:val="22"/>
                <w:szCs w:val="22"/>
              </w:rPr>
            </w:pPr>
            <w:r w:rsidRPr="009A7CD7">
              <w:rPr>
                <w:color w:val="000000"/>
                <w:sz w:val="22"/>
                <w:szCs w:val="22"/>
              </w:rPr>
              <w:t>13</w:t>
            </w:r>
          </w:p>
        </w:tc>
        <w:tc>
          <w:tcPr>
            <w:tcW w:w="1985" w:type="dxa"/>
            <w:tcBorders>
              <w:top w:val="nil"/>
              <w:left w:val="nil"/>
              <w:bottom w:val="single" w:sz="4" w:space="0" w:color="auto"/>
              <w:right w:val="single" w:sz="4" w:space="0" w:color="auto"/>
            </w:tcBorders>
            <w:noWrap/>
            <w:vAlign w:val="bottom"/>
            <w:hideMark/>
          </w:tcPr>
          <w:p w14:paraId="057EB707" w14:textId="77777777" w:rsidR="005C1CDA" w:rsidRPr="009A7CD7" w:rsidRDefault="005C1CDA" w:rsidP="006E1DA8">
            <w:pPr>
              <w:jc w:val="center"/>
              <w:rPr>
                <w:color w:val="000000"/>
                <w:sz w:val="22"/>
                <w:szCs w:val="22"/>
              </w:rPr>
            </w:pPr>
            <w:r w:rsidRPr="009A7CD7">
              <w:rPr>
                <w:color w:val="000000"/>
                <w:sz w:val="22"/>
                <w:szCs w:val="22"/>
              </w:rPr>
              <w:t>1.040.000</w:t>
            </w:r>
          </w:p>
        </w:tc>
      </w:tr>
      <w:tr w:rsidR="005C1CDA" w:rsidRPr="009A7CD7" w14:paraId="6720FEF3" w14:textId="77777777" w:rsidTr="005C1CDA">
        <w:trPr>
          <w:trHeight w:val="310"/>
        </w:trPr>
        <w:tc>
          <w:tcPr>
            <w:tcW w:w="2830" w:type="dxa"/>
            <w:tcBorders>
              <w:top w:val="nil"/>
              <w:left w:val="single" w:sz="4" w:space="0" w:color="auto"/>
              <w:bottom w:val="single" w:sz="4" w:space="0" w:color="auto"/>
              <w:right w:val="single" w:sz="4" w:space="0" w:color="auto"/>
            </w:tcBorders>
            <w:noWrap/>
            <w:vAlign w:val="bottom"/>
            <w:hideMark/>
          </w:tcPr>
          <w:p w14:paraId="62B46300" w14:textId="77777777" w:rsidR="005C1CDA" w:rsidRPr="009A7CD7" w:rsidRDefault="005C1CDA">
            <w:pPr>
              <w:rPr>
                <w:color w:val="000000"/>
                <w:sz w:val="22"/>
                <w:szCs w:val="22"/>
              </w:rPr>
            </w:pPr>
            <w:r w:rsidRPr="009A7CD7">
              <w:rPr>
                <w:color w:val="000000"/>
                <w:sz w:val="22"/>
                <w:szCs w:val="22"/>
              </w:rPr>
              <w:t>Puglia</w:t>
            </w:r>
          </w:p>
        </w:tc>
        <w:tc>
          <w:tcPr>
            <w:tcW w:w="1843" w:type="dxa"/>
            <w:tcBorders>
              <w:top w:val="nil"/>
              <w:left w:val="nil"/>
              <w:bottom w:val="single" w:sz="4" w:space="0" w:color="auto"/>
              <w:right w:val="single" w:sz="4" w:space="0" w:color="auto"/>
            </w:tcBorders>
            <w:noWrap/>
            <w:vAlign w:val="center"/>
            <w:hideMark/>
          </w:tcPr>
          <w:p w14:paraId="3D46E3DF" w14:textId="77777777" w:rsidR="005C1CDA" w:rsidRPr="009A7CD7" w:rsidRDefault="005C1CDA">
            <w:pPr>
              <w:jc w:val="center"/>
              <w:rPr>
                <w:sz w:val="22"/>
                <w:szCs w:val="22"/>
              </w:rPr>
            </w:pPr>
            <w:r w:rsidRPr="009A7CD7">
              <w:rPr>
                <w:sz w:val="22"/>
                <w:szCs w:val="22"/>
              </w:rPr>
              <w:t>45</w:t>
            </w:r>
          </w:p>
        </w:tc>
        <w:tc>
          <w:tcPr>
            <w:tcW w:w="1843" w:type="dxa"/>
            <w:tcBorders>
              <w:top w:val="nil"/>
              <w:left w:val="nil"/>
              <w:bottom w:val="single" w:sz="4" w:space="0" w:color="auto"/>
              <w:right w:val="single" w:sz="4" w:space="0" w:color="auto"/>
            </w:tcBorders>
            <w:noWrap/>
            <w:vAlign w:val="bottom"/>
            <w:hideMark/>
          </w:tcPr>
          <w:p w14:paraId="63A0B8ED" w14:textId="77777777" w:rsidR="005C1CDA" w:rsidRPr="009A7CD7" w:rsidRDefault="005C1CDA" w:rsidP="006E1DA8">
            <w:pPr>
              <w:jc w:val="center"/>
              <w:rPr>
                <w:color w:val="000000"/>
                <w:sz w:val="22"/>
                <w:szCs w:val="22"/>
              </w:rPr>
            </w:pPr>
            <w:r w:rsidRPr="009A7CD7">
              <w:rPr>
                <w:color w:val="000000"/>
                <w:sz w:val="22"/>
                <w:szCs w:val="22"/>
              </w:rPr>
              <w:t>2.344.127</w:t>
            </w:r>
          </w:p>
        </w:tc>
        <w:tc>
          <w:tcPr>
            <w:tcW w:w="1559" w:type="dxa"/>
            <w:tcBorders>
              <w:top w:val="nil"/>
              <w:left w:val="nil"/>
              <w:bottom w:val="single" w:sz="4" w:space="0" w:color="auto"/>
              <w:right w:val="single" w:sz="4" w:space="0" w:color="auto"/>
            </w:tcBorders>
            <w:noWrap/>
            <w:vAlign w:val="center"/>
            <w:hideMark/>
          </w:tcPr>
          <w:p w14:paraId="27E350EA" w14:textId="77777777" w:rsidR="005C1CDA" w:rsidRPr="009A7CD7" w:rsidRDefault="005C1CDA" w:rsidP="006E1DA8">
            <w:pPr>
              <w:jc w:val="center"/>
              <w:rPr>
                <w:color w:val="000000"/>
                <w:sz w:val="22"/>
                <w:szCs w:val="22"/>
              </w:rPr>
            </w:pPr>
            <w:r w:rsidRPr="009A7CD7">
              <w:rPr>
                <w:color w:val="000000"/>
                <w:sz w:val="22"/>
                <w:szCs w:val="22"/>
              </w:rPr>
              <w:t>12</w:t>
            </w:r>
          </w:p>
        </w:tc>
        <w:tc>
          <w:tcPr>
            <w:tcW w:w="1985" w:type="dxa"/>
            <w:tcBorders>
              <w:top w:val="nil"/>
              <w:left w:val="nil"/>
              <w:bottom w:val="single" w:sz="4" w:space="0" w:color="auto"/>
              <w:right w:val="single" w:sz="4" w:space="0" w:color="auto"/>
            </w:tcBorders>
            <w:noWrap/>
            <w:vAlign w:val="bottom"/>
            <w:hideMark/>
          </w:tcPr>
          <w:p w14:paraId="56A3DB4D" w14:textId="77777777" w:rsidR="005C1CDA" w:rsidRPr="009A7CD7" w:rsidRDefault="005C1CDA" w:rsidP="006E1DA8">
            <w:pPr>
              <w:jc w:val="center"/>
              <w:rPr>
                <w:color w:val="000000"/>
                <w:sz w:val="22"/>
                <w:szCs w:val="22"/>
              </w:rPr>
            </w:pPr>
            <w:r w:rsidRPr="009A7CD7">
              <w:rPr>
                <w:color w:val="000000"/>
                <w:sz w:val="22"/>
                <w:szCs w:val="22"/>
              </w:rPr>
              <w:t>960.000</w:t>
            </w:r>
          </w:p>
        </w:tc>
      </w:tr>
      <w:tr w:rsidR="005C1CDA" w:rsidRPr="009A7CD7" w14:paraId="4FD1A7C8" w14:textId="77777777" w:rsidTr="005C1CDA">
        <w:trPr>
          <w:trHeight w:val="310"/>
        </w:trPr>
        <w:tc>
          <w:tcPr>
            <w:tcW w:w="2830" w:type="dxa"/>
            <w:tcBorders>
              <w:top w:val="nil"/>
              <w:left w:val="single" w:sz="4" w:space="0" w:color="auto"/>
              <w:bottom w:val="single" w:sz="4" w:space="0" w:color="auto"/>
              <w:right w:val="single" w:sz="4" w:space="0" w:color="auto"/>
            </w:tcBorders>
            <w:noWrap/>
            <w:vAlign w:val="bottom"/>
            <w:hideMark/>
          </w:tcPr>
          <w:p w14:paraId="77E19248" w14:textId="77777777" w:rsidR="005C1CDA" w:rsidRPr="009A7CD7" w:rsidRDefault="005C1CDA">
            <w:pPr>
              <w:rPr>
                <w:color w:val="000000"/>
                <w:sz w:val="22"/>
                <w:szCs w:val="22"/>
              </w:rPr>
            </w:pPr>
            <w:r w:rsidRPr="009A7CD7">
              <w:rPr>
                <w:color w:val="000000"/>
                <w:sz w:val="22"/>
                <w:szCs w:val="22"/>
              </w:rPr>
              <w:t>Sardegna</w:t>
            </w:r>
          </w:p>
        </w:tc>
        <w:tc>
          <w:tcPr>
            <w:tcW w:w="1843" w:type="dxa"/>
            <w:tcBorders>
              <w:top w:val="nil"/>
              <w:left w:val="nil"/>
              <w:bottom w:val="single" w:sz="4" w:space="0" w:color="auto"/>
              <w:right w:val="single" w:sz="4" w:space="0" w:color="auto"/>
            </w:tcBorders>
            <w:noWrap/>
            <w:vAlign w:val="center"/>
            <w:hideMark/>
          </w:tcPr>
          <w:p w14:paraId="23B5C47A" w14:textId="77777777" w:rsidR="005C1CDA" w:rsidRPr="009A7CD7" w:rsidRDefault="005C1CDA">
            <w:pPr>
              <w:jc w:val="center"/>
              <w:rPr>
                <w:sz w:val="22"/>
                <w:szCs w:val="22"/>
              </w:rPr>
            </w:pPr>
            <w:r w:rsidRPr="009A7CD7">
              <w:rPr>
                <w:sz w:val="22"/>
                <w:szCs w:val="22"/>
              </w:rPr>
              <w:t>26</w:t>
            </w:r>
          </w:p>
        </w:tc>
        <w:tc>
          <w:tcPr>
            <w:tcW w:w="1843" w:type="dxa"/>
            <w:tcBorders>
              <w:top w:val="nil"/>
              <w:left w:val="nil"/>
              <w:bottom w:val="single" w:sz="4" w:space="0" w:color="auto"/>
              <w:right w:val="single" w:sz="4" w:space="0" w:color="auto"/>
            </w:tcBorders>
            <w:noWrap/>
            <w:vAlign w:val="bottom"/>
            <w:hideMark/>
          </w:tcPr>
          <w:p w14:paraId="0F3F3A97" w14:textId="77777777" w:rsidR="005C1CDA" w:rsidRPr="009A7CD7" w:rsidRDefault="005C1CDA" w:rsidP="006E1DA8">
            <w:pPr>
              <w:jc w:val="center"/>
              <w:rPr>
                <w:color w:val="000000"/>
                <w:sz w:val="22"/>
                <w:szCs w:val="22"/>
              </w:rPr>
            </w:pPr>
            <w:r w:rsidRPr="009A7CD7">
              <w:rPr>
                <w:color w:val="000000"/>
                <w:sz w:val="22"/>
                <w:szCs w:val="22"/>
              </w:rPr>
              <w:t>940.088</w:t>
            </w:r>
          </w:p>
        </w:tc>
        <w:tc>
          <w:tcPr>
            <w:tcW w:w="1559" w:type="dxa"/>
            <w:tcBorders>
              <w:top w:val="nil"/>
              <w:left w:val="nil"/>
              <w:bottom w:val="single" w:sz="4" w:space="0" w:color="auto"/>
              <w:right w:val="single" w:sz="4" w:space="0" w:color="auto"/>
            </w:tcBorders>
            <w:noWrap/>
            <w:vAlign w:val="center"/>
            <w:hideMark/>
          </w:tcPr>
          <w:p w14:paraId="07B76429" w14:textId="77777777" w:rsidR="005C1CDA" w:rsidRPr="009A7CD7" w:rsidRDefault="005C1CDA" w:rsidP="006E1DA8">
            <w:pPr>
              <w:jc w:val="center"/>
              <w:rPr>
                <w:color w:val="000000"/>
                <w:sz w:val="22"/>
                <w:szCs w:val="22"/>
              </w:rPr>
            </w:pPr>
            <w:r w:rsidRPr="009A7CD7">
              <w:rPr>
                <w:color w:val="000000"/>
                <w:sz w:val="22"/>
                <w:szCs w:val="22"/>
              </w:rPr>
              <w:t>5</w:t>
            </w:r>
          </w:p>
        </w:tc>
        <w:tc>
          <w:tcPr>
            <w:tcW w:w="1985" w:type="dxa"/>
            <w:tcBorders>
              <w:top w:val="nil"/>
              <w:left w:val="nil"/>
              <w:bottom w:val="single" w:sz="4" w:space="0" w:color="auto"/>
              <w:right w:val="single" w:sz="4" w:space="0" w:color="auto"/>
            </w:tcBorders>
            <w:noWrap/>
            <w:vAlign w:val="bottom"/>
            <w:hideMark/>
          </w:tcPr>
          <w:p w14:paraId="218A404E" w14:textId="77777777" w:rsidR="005C1CDA" w:rsidRPr="009A7CD7" w:rsidRDefault="005C1CDA" w:rsidP="006E1DA8">
            <w:pPr>
              <w:jc w:val="center"/>
              <w:rPr>
                <w:color w:val="000000"/>
                <w:sz w:val="22"/>
                <w:szCs w:val="22"/>
              </w:rPr>
            </w:pPr>
            <w:r w:rsidRPr="009A7CD7">
              <w:rPr>
                <w:color w:val="000000"/>
                <w:sz w:val="22"/>
                <w:szCs w:val="22"/>
              </w:rPr>
              <w:t>400.000</w:t>
            </w:r>
          </w:p>
        </w:tc>
      </w:tr>
      <w:tr w:rsidR="005C1CDA" w:rsidRPr="009A7CD7" w14:paraId="22C0CFBF" w14:textId="77777777" w:rsidTr="005C1CDA">
        <w:trPr>
          <w:trHeight w:val="310"/>
        </w:trPr>
        <w:tc>
          <w:tcPr>
            <w:tcW w:w="2830" w:type="dxa"/>
            <w:tcBorders>
              <w:top w:val="nil"/>
              <w:left w:val="single" w:sz="4" w:space="0" w:color="auto"/>
              <w:bottom w:val="single" w:sz="4" w:space="0" w:color="auto"/>
              <w:right w:val="single" w:sz="4" w:space="0" w:color="auto"/>
            </w:tcBorders>
            <w:noWrap/>
            <w:vAlign w:val="bottom"/>
            <w:hideMark/>
          </w:tcPr>
          <w:p w14:paraId="391E8D61" w14:textId="77777777" w:rsidR="005C1CDA" w:rsidRPr="009A7CD7" w:rsidRDefault="005C1CDA">
            <w:pPr>
              <w:rPr>
                <w:color w:val="000000"/>
                <w:sz w:val="22"/>
                <w:szCs w:val="22"/>
              </w:rPr>
            </w:pPr>
            <w:r w:rsidRPr="009A7CD7">
              <w:rPr>
                <w:color w:val="000000"/>
                <w:sz w:val="22"/>
                <w:szCs w:val="22"/>
              </w:rPr>
              <w:t>Sicilia</w:t>
            </w:r>
          </w:p>
        </w:tc>
        <w:tc>
          <w:tcPr>
            <w:tcW w:w="1843" w:type="dxa"/>
            <w:tcBorders>
              <w:top w:val="nil"/>
              <w:left w:val="nil"/>
              <w:bottom w:val="single" w:sz="4" w:space="0" w:color="auto"/>
              <w:right w:val="single" w:sz="4" w:space="0" w:color="auto"/>
            </w:tcBorders>
            <w:noWrap/>
            <w:vAlign w:val="center"/>
            <w:hideMark/>
          </w:tcPr>
          <w:p w14:paraId="6422A764" w14:textId="77777777" w:rsidR="005C1CDA" w:rsidRPr="009A7CD7" w:rsidRDefault="005C1CDA">
            <w:pPr>
              <w:jc w:val="center"/>
              <w:rPr>
                <w:sz w:val="22"/>
                <w:szCs w:val="22"/>
              </w:rPr>
            </w:pPr>
            <w:r w:rsidRPr="009A7CD7">
              <w:rPr>
                <w:sz w:val="22"/>
                <w:szCs w:val="22"/>
              </w:rPr>
              <w:t>55</w:t>
            </w:r>
          </w:p>
        </w:tc>
        <w:tc>
          <w:tcPr>
            <w:tcW w:w="1843" w:type="dxa"/>
            <w:tcBorders>
              <w:top w:val="nil"/>
              <w:left w:val="nil"/>
              <w:bottom w:val="single" w:sz="4" w:space="0" w:color="auto"/>
              <w:right w:val="single" w:sz="4" w:space="0" w:color="auto"/>
            </w:tcBorders>
            <w:noWrap/>
            <w:vAlign w:val="bottom"/>
            <w:hideMark/>
          </w:tcPr>
          <w:p w14:paraId="207C8969" w14:textId="77777777" w:rsidR="005C1CDA" w:rsidRPr="009A7CD7" w:rsidRDefault="005C1CDA" w:rsidP="006E1DA8">
            <w:pPr>
              <w:jc w:val="center"/>
              <w:rPr>
                <w:color w:val="000000"/>
                <w:sz w:val="22"/>
                <w:szCs w:val="22"/>
              </w:rPr>
            </w:pPr>
            <w:r w:rsidRPr="009A7CD7">
              <w:rPr>
                <w:color w:val="000000"/>
                <w:sz w:val="22"/>
                <w:szCs w:val="22"/>
              </w:rPr>
              <w:t>2.886.805</w:t>
            </w:r>
          </w:p>
        </w:tc>
        <w:tc>
          <w:tcPr>
            <w:tcW w:w="1559" w:type="dxa"/>
            <w:tcBorders>
              <w:top w:val="nil"/>
              <w:left w:val="nil"/>
              <w:bottom w:val="single" w:sz="4" w:space="0" w:color="auto"/>
              <w:right w:val="single" w:sz="4" w:space="0" w:color="auto"/>
            </w:tcBorders>
            <w:noWrap/>
            <w:vAlign w:val="center"/>
            <w:hideMark/>
          </w:tcPr>
          <w:p w14:paraId="64B05211" w14:textId="77777777" w:rsidR="005C1CDA" w:rsidRPr="009A7CD7" w:rsidRDefault="005C1CDA" w:rsidP="006E1DA8">
            <w:pPr>
              <w:jc w:val="center"/>
              <w:rPr>
                <w:color w:val="000000"/>
                <w:sz w:val="22"/>
                <w:szCs w:val="22"/>
              </w:rPr>
            </w:pPr>
            <w:r w:rsidRPr="009A7CD7">
              <w:rPr>
                <w:color w:val="000000"/>
                <w:sz w:val="22"/>
                <w:szCs w:val="22"/>
              </w:rPr>
              <w:t>15</w:t>
            </w:r>
          </w:p>
        </w:tc>
        <w:tc>
          <w:tcPr>
            <w:tcW w:w="1985" w:type="dxa"/>
            <w:tcBorders>
              <w:top w:val="nil"/>
              <w:left w:val="nil"/>
              <w:bottom w:val="single" w:sz="4" w:space="0" w:color="auto"/>
              <w:right w:val="single" w:sz="4" w:space="0" w:color="auto"/>
            </w:tcBorders>
            <w:noWrap/>
            <w:vAlign w:val="bottom"/>
            <w:hideMark/>
          </w:tcPr>
          <w:p w14:paraId="5B49369B" w14:textId="77777777" w:rsidR="005C1CDA" w:rsidRPr="009A7CD7" w:rsidRDefault="005C1CDA" w:rsidP="006E1DA8">
            <w:pPr>
              <w:jc w:val="center"/>
              <w:rPr>
                <w:color w:val="000000"/>
                <w:sz w:val="22"/>
                <w:szCs w:val="22"/>
              </w:rPr>
            </w:pPr>
            <w:r w:rsidRPr="009A7CD7">
              <w:rPr>
                <w:color w:val="000000"/>
                <w:sz w:val="22"/>
                <w:szCs w:val="22"/>
              </w:rPr>
              <w:t>1.200.000</w:t>
            </w:r>
          </w:p>
        </w:tc>
      </w:tr>
      <w:tr w:rsidR="005C1CDA" w:rsidRPr="009A7CD7" w14:paraId="6025CAF7" w14:textId="77777777" w:rsidTr="005C1CDA">
        <w:trPr>
          <w:trHeight w:val="310"/>
        </w:trPr>
        <w:tc>
          <w:tcPr>
            <w:tcW w:w="2830" w:type="dxa"/>
            <w:tcBorders>
              <w:top w:val="nil"/>
              <w:left w:val="single" w:sz="4" w:space="0" w:color="auto"/>
              <w:bottom w:val="single" w:sz="4" w:space="0" w:color="auto"/>
              <w:right w:val="single" w:sz="4" w:space="0" w:color="auto"/>
            </w:tcBorders>
            <w:noWrap/>
            <w:vAlign w:val="bottom"/>
            <w:hideMark/>
          </w:tcPr>
          <w:p w14:paraId="59EE9A64" w14:textId="77777777" w:rsidR="005C1CDA" w:rsidRPr="009A7CD7" w:rsidRDefault="005C1CDA">
            <w:pPr>
              <w:rPr>
                <w:color w:val="000000"/>
                <w:sz w:val="22"/>
                <w:szCs w:val="22"/>
              </w:rPr>
            </w:pPr>
            <w:r w:rsidRPr="009A7CD7">
              <w:rPr>
                <w:color w:val="000000"/>
                <w:sz w:val="22"/>
                <w:szCs w:val="22"/>
              </w:rPr>
              <w:t>Toscana</w:t>
            </w:r>
          </w:p>
        </w:tc>
        <w:tc>
          <w:tcPr>
            <w:tcW w:w="1843" w:type="dxa"/>
            <w:tcBorders>
              <w:top w:val="nil"/>
              <w:left w:val="nil"/>
              <w:bottom w:val="single" w:sz="4" w:space="0" w:color="auto"/>
              <w:right w:val="single" w:sz="4" w:space="0" w:color="auto"/>
            </w:tcBorders>
            <w:noWrap/>
            <w:vAlign w:val="center"/>
            <w:hideMark/>
          </w:tcPr>
          <w:p w14:paraId="31A5DD86" w14:textId="77777777" w:rsidR="005C1CDA" w:rsidRPr="009A7CD7" w:rsidRDefault="005C1CDA">
            <w:pPr>
              <w:jc w:val="center"/>
              <w:rPr>
                <w:sz w:val="22"/>
                <w:szCs w:val="22"/>
              </w:rPr>
            </w:pPr>
            <w:r w:rsidRPr="009A7CD7">
              <w:rPr>
                <w:sz w:val="22"/>
                <w:szCs w:val="22"/>
              </w:rPr>
              <w:t>28</w:t>
            </w:r>
          </w:p>
        </w:tc>
        <w:tc>
          <w:tcPr>
            <w:tcW w:w="1843" w:type="dxa"/>
            <w:tcBorders>
              <w:top w:val="nil"/>
              <w:left w:val="nil"/>
              <w:bottom w:val="single" w:sz="4" w:space="0" w:color="auto"/>
              <w:right w:val="single" w:sz="4" w:space="0" w:color="auto"/>
            </w:tcBorders>
            <w:noWrap/>
            <w:vAlign w:val="bottom"/>
            <w:hideMark/>
          </w:tcPr>
          <w:p w14:paraId="4330266F" w14:textId="77777777" w:rsidR="005C1CDA" w:rsidRPr="009A7CD7" w:rsidRDefault="005C1CDA" w:rsidP="006E1DA8">
            <w:pPr>
              <w:jc w:val="center"/>
              <w:rPr>
                <w:color w:val="000000"/>
                <w:sz w:val="22"/>
                <w:szCs w:val="22"/>
              </w:rPr>
            </w:pPr>
            <w:r w:rsidRPr="009A7CD7">
              <w:rPr>
                <w:color w:val="000000"/>
                <w:sz w:val="22"/>
                <w:szCs w:val="22"/>
              </w:rPr>
              <w:t>2.174.685</w:t>
            </w:r>
          </w:p>
        </w:tc>
        <w:tc>
          <w:tcPr>
            <w:tcW w:w="1559" w:type="dxa"/>
            <w:tcBorders>
              <w:top w:val="nil"/>
              <w:left w:val="nil"/>
              <w:bottom w:val="single" w:sz="4" w:space="0" w:color="auto"/>
              <w:right w:val="single" w:sz="4" w:space="0" w:color="auto"/>
            </w:tcBorders>
            <w:noWrap/>
            <w:vAlign w:val="center"/>
            <w:hideMark/>
          </w:tcPr>
          <w:p w14:paraId="293F587A" w14:textId="77777777" w:rsidR="005C1CDA" w:rsidRPr="009A7CD7" w:rsidRDefault="005C1CDA" w:rsidP="006E1DA8">
            <w:pPr>
              <w:jc w:val="center"/>
              <w:rPr>
                <w:color w:val="000000"/>
                <w:sz w:val="22"/>
                <w:szCs w:val="22"/>
              </w:rPr>
            </w:pPr>
            <w:r w:rsidRPr="009A7CD7">
              <w:rPr>
                <w:color w:val="000000"/>
                <w:sz w:val="22"/>
                <w:szCs w:val="22"/>
              </w:rPr>
              <w:t>11</w:t>
            </w:r>
          </w:p>
        </w:tc>
        <w:tc>
          <w:tcPr>
            <w:tcW w:w="1985" w:type="dxa"/>
            <w:tcBorders>
              <w:top w:val="nil"/>
              <w:left w:val="nil"/>
              <w:bottom w:val="single" w:sz="4" w:space="0" w:color="auto"/>
              <w:right w:val="single" w:sz="4" w:space="0" w:color="auto"/>
            </w:tcBorders>
            <w:noWrap/>
            <w:vAlign w:val="bottom"/>
            <w:hideMark/>
          </w:tcPr>
          <w:p w14:paraId="7E32063A" w14:textId="77777777" w:rsidR="005C1CDA" w:rsidRPr="009A7CD7" w:rsidRDefault="005C1CDA" w:rsidP="006E1DA8">
            <w:pPr>
              <w:jc w:val="center"/>
              <w:rPr>
                <w:color w:val="000000"/>
                <w:sz w:val="22"/>
                <w:szCs w:val="22"/>
              </w:rPr>
            </w:pPr>
            <w:r w:rsidRPr="009A7CD7">
              <w:rPr>
                <w:color w:val="000000"/>
                <w:sz w:val="22"/>
                <w:szCs w:val="22"/>
              </w:rPr>
              <w:t>880.000</w:t>
            </w:r>
          </w:p>
        </w:tc>
      </w:tr>
      <w:tr w:rsidR="005C1CDA" w:rsidRPr="009A7CD7" w14:paraId="536074C3" w14:textId="77777777" w:rsidTr="005C1CDA">
        <w:trPr>
          <w:trHeight w:val="310"/>
        </w:trPr>
        <w:tc>
          <w:tcPr>
            <w:tcW w:w="2830" w:type="dxa"/>
            <w:tcBorders>
              <w:top w:val="nil"/>
              <w:left w:val="single" w:sz="4" w:space="0" w:color="auto"/>
              <w:bottom w:val="single" w:sz="4" w:space="0" w:color="auto"/>
              <w:right w:val="single" w:sz="4" w:space="0" w:color="auto"/>
            </w:tcBorders>
            <w:noWrap/>
            <w:vAlign w:val="bottom"/>
            <w:hideMark/>
          </w:tcPr>
          <w:p w14:paraId="24E85527" w14:textId="77777777" w:rsidR="005C1CDA" w:rsidRPr="009A7CD7" w:rsidRDefault="005C1CDA">
            <w:pPr>
              <w:rPr>
                <w:color w:val="000000"/>
                <w:sz w:val="22"/>
                <w:szCs w:val="22"/>
              </w:rPr>
            </w:pPr>
            <w:r w:rsidRPr="009A7CD7">
              <w:rPr>
                <w:color w:val="000000"/>
                <w:sz w:val="22"/>
                <w:szCs w:val="22"/>
              </w:rPr>
              <w:t>Umbria</w:t>
            </w:r>
          </w:p>
        </w:tc>
        <w:tc>
          <w:tcPr>
            <w:tcW w:w="1843" w:type="dxa"/>
            <w:tcBorders>
              <w:top w:val="nil"/>
              <w:left w:val="nil"/>
              <w:bottom w:val="single" w:sz="4" w:space="0" w:color="auto"/>
              <w:right w:val="single" w:sz="4" w:space="0" w:color="auto"/>
            </w:tcBorders>
            <w:noWrap/>
            <w:vAlign w:val="center"/>
            <w:hideMark/>
          </w:tcPr>
          <w:p w14:paraId="00177078" w14:textId="77777777" w:rsidR="005C1CDA" w:rsidRPr="009A7CD7" w:rsidRDefault="005C1CDA">
            <w:pPr>
              <w:jc w:val="center"/>
              <w:rPr>
                <w:sz w:val="22"/>
                <w:szCs w:val="22"/>
              </w:rPr>
            </w:pPr>
            <w:r w:rsidRPr="009A7CD7">
              <w:rPr>
                <w:sz w:val="22"/>
                <w:szCs w:val="22"/>
              </w:rPr>
              <w:t>12</w:t>
            </w:r>
          </w:p>
        </w:tc>
        <w:tc>
          <w:tcPr>
            <w:tcW w:w="1843" w:type="dxa"/>
            <w:tcBorders>
              <w:top w:val="nil"/>
              <w:left w:val="nil"/>
              <w:bottom w:val="single" w:sz="4" w:space="0" w:color="auto"/>
              <w:right w:val="single" w:sz="4" w:space="0" w:color="auto"/>
            </w:tcBorders>
            <w:noWrap/>
            <w:vAlign w:val="bottom"/>
            <w:hideMark/>
          </w:tcPr>
          <w:p w14:paraId="1E426105" w14:textId="77777777" w:rsidR="005C1CDA" w:rsidRPr="009A7CD7" w:rsidRDefault="005C1CDA" w:rsidP="006E1DA8">
            <w:pPr>
              <w:jc w:val="center"/>
              <w:rPr>
                <w:color w:val="000000"/>
                <w:sz w:val="22"/>
                <w:szCs w:val="22"/>
              </w:rPr>
            </w:pPr>
            <w:r w:rsidRPr="009A7CD7">
              <w:rPr>
                <w:color w:val="000000"/>
                <w:sz w:val="22"/>
                <w:szCs w:val="22"/>
              </w:rPr>
              <w:t>500.296</w:t>
            </w:r>
          </w:p>
        </w:tc>
        <w:tc>
          <w:tcPr>
            <w:tcW w:w="1559" w:type="dxa"/>
            <w:tcBorders>
              <w:top w:val="nil"/>
              <w:left w:val="nil"/>
              <w:bottom w:val="single" w:sz="4" w:space="0" w:color="auto"/>
              <w:right w:val="single" w:sz="4" w:space="0" w:color="auto"/>
            </w:tcBorders>
            <w:noWrap/>
            <w:vAlign w:val="center"/>
            <w:hideMark/>
          </w:tcPr>
          <w:p w14:paraId="7390C3D9" w14:textId="77777777" w:rsidR="005C1CDA" w:rsidRPr="009A7CD7" w:rsidRDefault="005C1CDA" w:rsidP="006E1DA8">
            <w:pPr>
              <w:jc w:val="center"/>
              <w:rPr>
                <w:color w:val="000000"/>
                <w:sz w:val="22"/>
                <w:szCs w:val="22"/>
              </w:rPr>
            </w:pPr>
            <w:r w:rsidRPr="009A7CD7">
              <w:rPr>
                <w:color w:val="000000"/>
                <w:sz w:val="22"/>
                <w:szCs w:val="22"/>
              </w:rPr>
              <w:t>3</w:t>
            </w:r>
          </w:p>
        </w:tc>
        <w:tc>
          <w:tcPr>
            <w:tcW w:w="1985" w:type="dxa"/>
            <w:tcBorders>
              <w:top w:val="nil"/>
              <w:left w:val="nil"/>
              <w:bottom w:val="single" w:sz="4" w:space="0" w:color="auto"/>
              <w:right w:val="single" w:sz="4" w:space="0" w:color="auto"/>
            </w:tcBorders>
            <w:noWrap/>
            <w:vAlign w:val="bottom"/>
            <w:hideMark/>
          </w:tcPr>
          <w:p w14:paraId="13B64ACE" w14:textId="77777777" w:rsidR="005C1CDA" w:rsidRPr="009A7CD7" w:rsidRDefault="005C1CDA" w:rsidP="006E1DA8">
            <w:pPr>
              <w:jc w:val="center"/>
              <w:rPr>
                <w:color w:val="000000"/>
                <w:sz w:val="22"/>
                <w:szCs w:val="22"/>
              </w:rPr>
            </w:pPr>
            <w:r w:rsidRPr="009A7CD7">
              <w:rPr>
                <w:color w:val="000000"/>
                <w:sz w:val="22"/>
                <w:szCs w:val="22"/>
              </w:rPr>
              <w:t>240.000</w:t>
            </w:r>
          </w:p>
        </w:tc>
      </w:tr>
      <w:tr w:rsidR="005C1CDA" w:rsidRPr="009A7CD7" w14:paraId="1B58B8C5" w14:textId="77777777" w:rsidTr="005C1CDA">
        <w:trPr>
          <w:trHeight w:val="310"/>
        </w:trPr>
        <w:tc>
          <w:tcPr>
            <w:tcW w:w="2830" w:type="dxa"/>
            <w:tcBorders>
              <w:top w:val="nil"/>
              <w:left w:val="single" w:sz="4" w:space="0" w:color="auto"/>
              <w:bottom w:val="single" w:sz="4" w:space="0" w:color="auto"/>
              <w:right w:val="single" w:sz="4" w:space="0" w:color="auto"/>
            </w:tcBorders>
            <w:noWrap/>
            <w:vAlign w:val="bottom"/>
            <w:hideMark/>
          </w:tcPr>
          <w:p w14:paraId="366C31F6" w14:textId="71887C33" w:rsidR="005C1CDA" w:rsidRPr="009A7CD7" w:rsidRDefault="005C1CDA">
            <w:pPr>
              <w:rPr>
                <w:color w:val="000000"/>
                <w:sz w:val="22"/>
                <w:szCs w:val="22"/>
              </w:rPr>
            </w:pPr>
            <w:r w:rsidRPr="009A7CD7">
              <w:rPr>
                <w:color w:val="000000"/>
                <w:sz w:val="22"/>
                <w:szCs w:val="22"/>
              </w:rPr>
              <w:t>Valle d'Aosta</w:t>
            </w:r>
          </w:p>
        </w:tc>
        <w:tc>
          <w:tcPr>
            <w:tcW w:w="1843" w:type="dxa"/>
            <w:tcBorders>
              <w:top w:val="nil"/>
              <w:left w:val="nil"/>
              <w:bottom w:val="single" w:sz="4" w:space="0" w:color="auto"/>
              <w:right w:val="single" w:sz="4" w:space="0" w:color="auto"/>
            </w:tcBorders>
            <w:noWrap/>
            <w:vAlign w:val="center"/>
            <w:hideMark/>
          </w:tcPr>
          <w:p w14:paraId="6FC56B07" w14:textId="77777777" w:rsidR="005C1CDA" w:rsidRPr="009A7CD7" w:rsidRDefault="005C1CDA">
            <w:pPr>
              <w:jc w:val="center"/>
              <w:rPr>
                <w:sz w:val="22"/>
                <w:szCs w:val="22"/>
              </w:rPr>
            </w:pPr>
            <w:r w:rsidRPr="009A7CD7">
              <w:rPr>
                <w:sz w:val="22"/>
                <w:szCs w:val="22"/>
              </w:rPr>
              <w:t>1</w:t>
            </w:r>
          </w:p>
        </w:tc>
        <w:tc>
          <w:tcPr>
            <w:tcW w:w="1843" w:type="dxa"/>
            <w:tcBorders>
              <w:top w:val="nil"/>
              <w:left w:val="nil"/>
              <w:bottom w:val="single" w:sz="4" w:space="0" w:color="auto"/>
              <w:right w:val="single" w:sz="4" w:space="0" w:color="auto"/>
            </w:tcBorders>
            <w:noWrap/>
            <w:vAlign w:val="bottom"/>
            <w:hideMark/>
          </w:tcPr>
          <w:p w14:paraId="03A7E262" w14:textId="77777777" w:rsidR="005C1CDA" w:rsidRPr="009A7CD7" w:rsidRDefault="005C1CDA" w:rsidP="006E1DA8">
            <w:pPr>
              <w:jc w:val="center"/>
              <w:rPr>
                <w:color w:val="000000"/>
                <w:sz w:val="22"/>
                <w:szCs w:val="22"/>
              </w:rPr>
            </w:pPr>
            <w:r w:rsidRPr="009A7CD7">
              <w:rPr>
                <w:color w:val="000000"/>
                <w:sz w:val="22"/>
                <w:szCs w:val="22"/>
              </w:rPr>
              <w:t>73.360</w:t>
            </w:r>
          </w:p>
        </w:tc>
        <w:tc>
          <w:tcPr>
            <w:tcW w:w="1559" w:type="dxa"/>
            <w:tcBorders>
              <w:top w:val="nil"/>
              <w:left w:val="nil"/>
              <w:bottom w:val="single" w:sz="4" w:space="0" w:color="auto"/>
              <w:right w:val="single" w:sz="4" w:space="0" w:color="auto"/>
            </w:tcBorders>
            <w:noWrap/>
            <w:vAlign w:val="center"/>
            <w:hideMark/>
          </w:tcPr>
          <w:p w14:paraId="5AA4805F" w14:textId="77777777" w:rsidR="005C1CDA" w:rsidRPr="009A7CD7" w:rsidRDefault="005C1CDA" w:rsidP="006E1DA8">
            <w:pPr>
              <w:jc w:val="center"/>
              <w:rPr>
                <w:color w:val="000000"/>
                <w:sz w:val="22"/>
                <w:szCs w:val="22"/>
              </w:rPr>
            </w:pPr>
            <w:r w:rsidRPr="009A7CD7">
              <w:rPr>
                <w:color w:val="000000"/>
                <w:sz w:val="22"/>
                <w:szCs w:val="22"/>
              </w:rPr>
              <w:t>1</w:t>
            </w:r>
          </w:p>
        </w:tc>
        <w:tc>
          <w:tcPr>
            <w:tcW w:w="1985" w:type="dxa"/>
            <w:tcBorders>
              <w:top w:val="nil"/>
              <w:left w:val="nil"/>
              <w:bottom w:val="single" w:sz="4" w:space="0" w:color="auto"/>
              <w:right w:val="single" w:sz="4" w:space="0" w:color="auto"/>
            </w:tcBorders>
            <w:noWrap/>
            <w:vAlign w:val="bottom"/>
            <w:hideMark/>
          </w:tcPr>
          <w:p w14:paraId="73DDB43F" w14:textId="77777777" w:rsidR="005C1CDA" w:rsidRPr="009A7CD7" w:rsidRDefault="005C1CDA" w:rsidP="006E1DA8">
            <w:pPr>
              <w:jc w:val="center"/>
              <w:rPr>
                <w:color w:val="000000"/>
                <w:sz w:val="22"/>
                <w:szCs w:val="22"/>
              </w:rPr>
            </w:pPr>
            <w:r w:rsidRPr="009A7CD7">
              <w:rPr>
                <w:color w:val="000000"/>
                <w:sz w:val="22"/>
                <w:szCs w:val="22"/>
              </w:rPr>
              <w:t>80.000</w:t>
            </w:r>
          </w:p>
        </w:tc>
      </w:tr>
      <w:tr w:rsidR="005C1CDA" w:rsidRPr="009A7CD7" w14:paraId="079E79E8" w14:textId="77777777" w:rsidTr="005C1CDA">
        <w:trPr>
          <w:trHeight w:val="310"/>
        </w:trPr>
        <w:tc>
          <w:tcPr>
            <w:tcW w:w="2830" w:type="dxa"/>
            <w:tcBorders>
              <w:top w:val="nil"/>
              <w:left w:val="single" w:sz="4" w:space="0" w:color="auto"/>
              <w:bottom w:val="single" w:sz="4" w:space="0" w:color="auto"/>
              <w:right w:val="single" w:sz="4" w:space="0" w:color="auto"/>
            </w:tcBorders>
            <w:noWrap/>
            <w:vAlign w:val="bottom"/>
            <w:hideMark/>
          </w:tcPr>
          <w:p w14:paraId="35B515FD" w14:textId="77777777" w:rsidR="005C1CDA" w:rsidRPr="009A7CD7" w:rsidRDefault="005C1CDA">
            <w:pPr>
              <w:rPr>
                <w:color w:val="000000"/>
                <w:sz w:val="22"/>
                <w:szCs w:val="22"/>
              </w:rPr>
            </w:pPr>
            <w:r w:rsidRPr="009A7CD7">
              <w:rPr>
                <w:color w:val="000000"/>
                <w:sz w:val="22"/>
                <w:szCs w:val="22"/>
              </w:rPr>
              <w:t>Veneto</w:t>
            </w:r>
          </w:p>
        </w:tc>
        <w:tc>
          <w:tcPr>
            <w:tcW w:w="1843" w:type="dxa"/>
            <w:tcBorders>
              <w:top w:val="nil"/>
              <w:left w:val="nil"/>
              <w:bottom w:val="single" w:sz="4" w:space="0" w:color="auto"/>
              <w:right w:val="single" w:sz="4" w:space="0" w:color="auto"/>
            </w:tcBorders>
            <w:noWrap/>
            <w:vAlign w:val="center"/>
            <w:hideMark/>
          </w:tcPr>
          <w:p w14:paraId="7F195C21" w14:textId="77777777" w:rsidR="005C1CDA" w:rsidRPr="009A7CD7" w:rsidRDefault="005C1CDA">
            <w:pPr>
              <w:jc w:val="center"/>
              <w:rPr>
                <w:sz w:val="22"/>
                <w:szCs w:val="22"/>
              </w:rPr>
            </w:pPr>
            <w:r w:rsidRPr="009A7CD7">
              <w:rPr>
                <w:sz w:val="22"/>
                <w:szCs w:val="22"/>
              </w:rPr>
              <w:t>21</w:t>
            </w:r>
          </w:p>
        </w:tc>
        <w:tc>
          <w:tcPr>
            <w:tcW w:w="1843" w:type="dxa"/>
            <w:tcBorders>
              <w:top w:val="nil"/>
              <w:left w:val="nil"/>
              <w:bottom w:val="single" w:sz="4" w:space="0" w:color="auto"/>
              <w:right w:val="single" w:sz="4" w:space="0" w:color="auto"/>
            </w:tcBorders>
            <w:noWrap/>
            <w:vAlign w:val="bottom"/>
            <w:hideMark/>
          </w:tcPr>
          <w:p w14:paraId="0AF05A4C" w14:textId="77777777" w:rsidR="005C1CDA" w:rsidRPr="009A7CD7" w:rsidRDefault="005C1CDA" w:rsidP="006E1DA8">
            <w:pPr>
              <w:jc w:val="center"/>
              <w:rPr>
                <w:color w:val="000000"/>
                <w:sz w:val="22"/>
                <w:szCs w:val="22"/>
              </w:rPr>
            </w:pPr>
            <w:r w:rsidRPr="009A7CD7">
              <w:rPr>
                <w:color w:val="000000"/>
                <w:sz w:val="22"/>
                <w:szCs w:val="22"/>
              </w:rPr>
              <w:t>2.929.664</w:t>
            </w:r>
          </w:p>
        </w:tc>
        <w:tc>
          <w:tcPr>
            <w:tcW w:w="1559" w:type="dxa"/>
            <w:tcBorders>
              <w:top w:val="nil"/>
              <w:left w:val="nil"/>
              <w:bottom w:val="single" w:sz="4" w:space="0" w:color="auto"/>
              <w:right w:val="single" w:sz="4" w:space="0" w:color="auto"/>
            </w:tcBorders>
            <w:noWrap/>
            <w:vAlign w:val="center"/>
            <w:hideMark/>
          </w:tcPr>
          <w:p w14:paraId="41C4D646" w14:textId="77777777" w:rsidR="005C1CDA" w:rsidRPr="009A7CD7" w:rsidRDefault="005C1CDA" w:rsidP="006E1DA8">
            <w:pPr>
              <w:jc w:val="center"/>
              <w:rPr>
                <w:color w:val="000000"/>
                <w:sz w:val="22"/>
                <w:szCs w:val="22"/>
              </w:rPr>
            </w:pPr>
            <w:r w:rsidRPr="009A7CD7">
              <w:rPr>
                <w:color w:val="000000"/>
                <w:sz w:val="22"/>
                <w:szCs w:val="22"/>
              </w:rPr>
              <w:t>15</w:t>
            </w:r>
          </w:p>
        </w:tc>
        <w:tc>
          <w:tcPr>
            <w:tcW w:w="1985" w:type="dxa"/>
            <w:tcBorders>
              <w:top w:val="nil"/>
              <w:left w:val="nil"/>
              <w:bottom w:val="single" w:sz="4" w:space="0" w:color="auto"/>
              <w:right w:val="single" w:sz="4" w:space="0" w:color="auto"/>
            </w:tcBorders>
            <w:noWrap/>
            <w:vAlign w:val="bottom"/>
            <w:hideMark/>
          </w:tcPr>
          <w:p w14:paraId="375D0BE7" w14:textId="77777777" w:rsidR="005C1CDA" w:rsidRPr="009A7CD7" w:rsidRDefault="005C1CDA" w:rsidP="006E1DA8">
            <w:pPr>
              <w:jc w:val="center"/>
              <w:rPr>
                <w:color w:val="000000"/>
                <w:sz w:val="22"/>
                <w:szCs w:val="22"/>
              </w:rPr>
            </w:pPr>
            <w:r w:rsidRPr="009A7CD7">
              <w:rPr>
                <w:color w:val="000000"/>
                <w:sz w:val="22"/>
                <w:szCs w:val="22"/>
              </w:rPr>
              <w:t>1.200.000</w:t>
            </w:r>
          </w:p>
        </w:tc>
      </w:tr>
      <w:tr w:rsidR="005C1CDA" w:rsidRPr="009A7CD7" w14:paraId="26FBC7AE" w14:textId="77777777" w:rsidTr="005C1CDA">
        <w:trPr>
          <w:trHeight w:val="310"/>
        </w:trPr>
        <w:tc>
          <w:tcPr>
            <w:tcW w:w="2830" w:type="dxa"/>
            <w:tcBorders>
              <w:top w:val="nil"/>
              <w:left w:val="single" w:sz="4" w:space="0" w:color="auto"/>
              <w:bottom w:val="single" w:sz="4" w:space="0" w:color="auto"/>
              <w:right w:val="single" w:sz="4" w:space="0" w:color="auto"/>
            </w:tcBorders>
            <w:noWrap/>
            <w:vAlign w:val="bottom"/>
            <w:hideMark/>
          </w:tcPr>
          <w:p w14:paraId="65B77CB7" w14:textId="77777777" w:rsidR="005C1CDA" w:rsidRPr="009A7CD7" w:rsidRDefault="005C1CDA" w:rsidP="002D6E2C">
            <w:pPr>
              <w:jc w:val="center"/>
              <w:rPr>
                <w:b/>
                <w:bCs/>
                <w:color w:val="000000"/>
                <w:sz w:val="22"/>
                <w:szCs w:val="22"/>
              </w:rPr>
            </w:pPr>
            <w:r w:rsidRPr="009A7CD7">
              <w:rPr>
                <w:b/>
                <w:bCs/>
                <w:color w:val="000000"/>
                <w:sz w:val="22"/>
                <w:szCs w:val="22"/>
              </w:rPr>
              <w:t>Totale</w:t>
            </w:r>
          </w:p>
        </w:tc>
        <w:tc>
          <w:tcPr>
            <w:tcW w:w="1843" w:type="dxa"/>
            <w:tcBorders>
              <w:top w:val="nil"/>
              <w:left w:val="nil"/>
              <w:bottom w:val="single" w:sz="4" w:space="0" w:color="auto"/>
              <w:right w:val="single" w:sz="4" w:space="0" w:color="auto"/>
            </w:tcBorders>
            <w:noWrap/>
            <w:vAlign w:val="center"/>
            <w:hideMark/>
          </w:tcPr>
          <w:p w14:paraId="4B38649A" w14:textId="77777777" w:rsidR="005C1CDA" w:rsidRPr="009A7CD7" w:rsidRDefault="005C1CDA">
            <w:pPr>
              <w:jc w:val="center"/>
              <w:rPr>
                <w:b/>
                <w:bCs/>
                <w:sz w:val="22"/>
                <w:szCs w:val="22"/>
              </w:rPr>
            </w:pPr>
            <w:r w:rsidRPr="009A7CD7">
              <w:rPr>
                <w:b/>
                <w:bCs/>
                <w:sz w:val="22"/>
                <w:szCs w:val="22"/>
              </w:rPr>
              <w:t>585</w:t>
            </w:r>
          </w:p>
        </w:tc>
        <w:tc>
          <w:tcPr>
            <w:tcW w:w="1843" w:type="dxa"/>
            <w:tcBorders>
              <w:top w:val="nil"/>
              <w:left w:val="nil"/>
              <w:bottom w:val="single" w:sz="4" w:space="0" w:color="auto"/>
              <w:right w:val="single" w:sz="4" w:space="0" w:color="auto"/>
            </w:tcBorders>
            <w:noWrap/>
            <w:vAlign w:val="bottom"/>
            <w:hideMark/>
          </w:tcPr>
          <w:p w14:paraId="4D7845E8" w14:textId="77777777" w:rsidR="005C1CDA" w:rsidRPr="009A7CD7" w:rsidRDefault="005C1CDA" w:rsidP="006E1DA8">
            <w:pPr>
              <w:jc w:val="center"/>
              <w:rPr>
                <w:b/>
                <w:bCs/>
                <w:sz w:val="22"/>
                <w:szCs w:val="22"/>
              </w:rPr>
            </w:pPr>
            <w:r w:rsidRPr="009A7CD7">
              <w:rPr>
                <w:b/>
                <w:bCs/>
                <w:sz w:val="22"/>
                <w:szCs w:val="22"/>
              </w:rPr>
              <w:t>34.940.540</w:t>
            </w:r>
          </w:p>
        </w:tc>
        <w:tc>
          <w:tcPr>
            <w:tcW w:w="1559" w:type="dxa"/>
            <w:tcBorders>
              <w:top w:val="nil"/>
              <w:left w:val="nil"/>
              <w:bottom w:val="single" w:sz="4" w:space="0" w:color="auto"/>
              <w:right w:val="single" w:sz="4" w:space="0" w:color="auto"/>
            </w:tcBorders>
            <w:noWrap/>
            <w:vAlign w:val="center"/>
            <w:hideMark/>
          </w:tcPr>
          <w:p w14:paraId="1A1EA695" w14:textId="77777777" w:rsidR="005C1CDA" w:rsidRPr="009A7CD7" w:rsidRDefault="005C1CDA" w:rsidP="006E1DA8">
            <w:pPr>
              <w:jc w:val="center"/>
              <w:rPr>
                <w:b/>
                <w:bCs/>
                <w:sz w:val="22"/>
                <w:szCs w:val="22"/>
              </w:rPr>
            </w:pPr>
            <w:r w:rsidRPr="009A7CD7">
              <w:rPr>
                <w:b/>
                <w:bCs/>
                <w:sz w:val="22"/>
                <w:szCs w:val="22"/>
              </w:rPr>
              <w:t>183</w:t>
            </w:r>
          </w:p>
        </w:tc>
        <w:tc>
          <w:tcPr>
            <w:tcW w:w="1985" w:type="dxa"/>
            <w:tcBorders>
              <w:top w:val="nil"/>
              <w:left w:val="nil"/>
              <w:bottom w:val="single" w:sz="4" w:space="0" w:color="auto"/>
              <w:right w:val="single" w:sz="4" w:space="0" w:color="auto"/>
            </w:tcBorders>
            <w:noWrap/>
            <w:vAlign w:val="bottom"/>
            <w:hideMark/>
          </w:tcPr>
          <w:p w14:paraId="24E958AE" w14:textId="77777777" w:rsidR="005C1CDA" w:rsidRPr="009A7CD7" w:rsidRDefault="005C1CDA" w:rsidP="006E1DA8">
            <w:pPr>
              <w:jc w:val="center"/>
              <w:rPr>
                <w:b/>
                <w:bCs/>
                <w:sz w:val="22"/>
                <w:szCs w:val="22"/>
              </w:rPr>
            </w:pPr>
            <w:r w:rsidRPr="009A7CD7">
              <w:rPr>
                <w:b/>
                <w:bCs/>
                <w:sz w:val="22"/>
                <w:szCs w:val="22"/>
              </w:rPr>
              <w:t>14.640.000</w:t>
            </w:r>
          </w:p>
        </w:tc>
      </w:tr>
    </w:tbl>
    <w:p w14:paraId="7CDE56AD" w14:textId="77777777" w:rsidR="005C1CDA" w:rsidRPr="009A7CD7" w:rsidRDefault="005C1CDA" w:rsidP="00C26501">
      <w:pPr>
        <w:tabs>
          <w:tab w:val="left" w:pos="680"/>
        </w:tabs>
        <w:ind w:right="106"/>
        <w:rPr>
          <w:rFonts w:eastAsia="Calibri"/>
          <w:b/>
          <w:bCs/>
          <w:shd w:val="clear" w:color="auto" w:fill="FFFFFF"/>
        </w:rPr>
      </w:pPr>
    </w:p>
    <w:tbl>
      <w:tblPr>
        <w:tblW w:w="9634" w:type="dxa"/>
        <w:tblCellMar>
          <w:left w:w="70" w:type="dxa"/>
          <w:right w:w="70" w:type="dxa"/>
        </w:tblCellMar>
        <w:tblLook w:val="04A0" w:firstRow="1" w:lastRow="0" w:firstColumn="1" w:lastColumn="0" w:noHBand="0" w:noVBand="1"/>
      </w:tblPr>
      <w:tblGrid>
        <w:gridCol w:w="2405"/>
        <w:gridCol w:w="2295"/>
        <w:gridCol w:w="4934"/>
      </w:tblGrid>
      <w:tr w:rsidR="00D76C2B" w:rsidRPr="009A7CD7" w14:paraId="5870B2A2" w14:textId="77777777" w:rsidTr="000510A2">
        <w:trPr>
          <w:trHeight w:val="461"/>
        </w:trPr>
        <w:tc>
          <w:tcPr>
            <w:tcW w:w="9634" w:type="dxa"/>
            <w:gridSpan w:val="3"/>
            <w:tcBorders>
              <w:top w:val="single" w:sz="4" w:space="0" w:color="auto"/>
              <w:left w:val="single" w:sz="4" w:space="0" w:color="auto"/>
              <w:bottom w:val="single" w:sz="4" w:space="0" w:color="auto"/>
              <w:right w:val="single" w:sz="4" w:space="0" w:color="auto"/>
            </w:tcBorders>
            <w:vAlign w:val="center"/>
          </w:tcPr>
          <w:p w14:paraId="5E352091" w14:textId="16FEB4CB" w:rsidR="00C3601A" w:rsidRPr="009A7CD7" w:rsidRDefault="00D76C2B" w:rsidP="00D76C2B">
            <w:pPr>
              <w:jc w:val="center"/>
              <w:rPr>
                <w:b/>
                <w:bCs/>
                <w:color w:val="000000"/>
              </w:rPr>
            </w:pPr>
            <w:r w:rsidRPr="009A7CD7">
              <w:rPr>
                <w:rFonts w:eastAsia="Calibri"/>
                <w:b/>
                <w:bCs/>
                <w:shd w:val="clear" w:color="auto" w:fill="FFFFFF"/>
              </w:rPr>
              <w:lastRenderedPageBreak/>
              <w:br w:type="page"/>
            </w:r>
            <w:r w:rsidR="00AF61B9" w:rsidRPr="009A7CD7">
              <w:rPr>
                <w:b/>
                <w:bCs/>
                <w:color w:val="000000"/>
              </w:rPr>
              <w:t>Tabella 6</w:t>
            </w:r>
          </w:p>
          <w:p w14:paraId="2AC8123F" w14:textId="6755182F" w:rsidR="00D76C2B" w:rsidRPr="009A7CD7" w:rsidRDefault="00AF61B9" w:rsidP="00D76C2B">
            <w:pPr>
              <w:jc w:val="center"/>
              <w:rPr>
                <w:b/>
                <w:bCs/>
                <w:color w:val="000000"/>
              </w:rPr>
            </w:pPr>
            <w:r w:rsidRPr="009A7CD7">
              <w:rPr>
                <w:b/>
                <w:bCs/>
                <w:color w:val="000000"/>
              </w:rPr>
              <w:t xml:space="preserve">Unità di personale PUA per </w:t>
            </w:r>
            <w:r w:rsidR="00C3601A" w:rsidRPr="009A7CD7">
              <w:rPr>
                <w:b/>
                <w:bCs/>
                <w:color w:val="000000"/>
              </w:rPr>
              <w:t>r</w:t>
            </w:r>
            <w:r w:rsidRPr="009A7CD7">
              <w:rPr>
                <w:b/>
                <w:bCs/>
                <w:color w:val="000000"/>
              </w:rPr>
              <w:t>egione</w:t>
            </w:r>
          </w:p>
        </w:tc>
      </w:tr>
      <w:tr w:rsidR="00D76C2B" w:rsidRPr="009A7CD7" w14:paraId="2986498D" w14:textId="77777777" w:rsidTr="000142C9">
        <w:trPr>
          <w:trHeight w:val="1120"/>
        </w:trPr>
        <w:tc>
          <w:tcPr>
            <w:tcW w:w="2405" w:type="dxa"/>
            <w:tcBorders>
              <w:top w:val="single" w:sz="4" w:space="0" w:color="auto"/>
              <w:left w:val="single" w:sz="4" w:space="0" w:color="auto"/>
              <w:bottom w:val="single" w:sz="4" w:space="0" w:color="auto"/>
              <w:right w:val="single" w:sz="4" w:space="0" w:color="auto"/>
            </w:tcBorders>
            <w:vAlign w:val="center"/>
          </w:tcPr>
          <w:p w14:paraId="60B7F7EA" w14:textId="33A25025" w:rsidR="00D76C2B" w:rsidRPr="009A7CD7" w:rsidRDefault="00D76C2B" w:rsidP="00D76C2B">
            <w:pPr>
              <w:jc w:val="center"/>
              <w:rPr>
                <w:b/>
                <w:bCs/>
                <w:color w:val="000000"/>
                <w:sz w:val="22"/>
                <w:szCs w:val="22"/>
              </w:rPr>
            </w:pPr>
            <w:r w:rsidRPr="009A7CD7">
              <w:rPr>
                <w:b/>
                <w:bCs/>
                <w:color w:val="000000"/>
                <w:sz w:val="22"/>
                <w:szCs w:val="22"/>
              </w:rPr>
              <w:t>Regioni</w:t>
            </w:r>
          </w:p>
        </w:tc>
        <w:tc>
          <w:tcPr>
            <w:tcW w:w="2295" w:type="dxa"/>
            <w:tcBorders>
              <w:top w:val="single" w:sz="4" w:space="0" w:color="auto"/>
              <w:left w:val="nil"/>
              <w:bottom w:val="single" w:sz="4" w:space="0" w:color="auto"/>
              <w:right w:val="single" w:sz="4" w:space="0" w:color="auto"/>
            </w:tcBorders>
            <w:vAlign w:val="center"/>
          </w:tcPr>
          <w:p w14:paraId="0CAEA447" w14:textId="74E961A5" w:rsidR="00D76C2B" w:rsidRPr="009A7CD7" w:rsidRDefault="00D76C2B" w:rsidP="00D76C2B">
            <w:pPr>
              <w:jc w:val="center"/>
              <w:rPr>
                <w:b/>
                <w:bCs/>
                <w:color w:val="000000"/>
                <w:sz w:val="22"/>
                <w:szCs w:val="22"/>
              </w:rPr>
            </w:pPr>
            <w:r w:rsidRPr="009A7CD7">
              <w:rPr>
                <w:b/>
                <w:bCs/>
                <w:color w:val="000000"/>
                <w:sz w:val="22"/>
                <w:szCs w:val="22"/>
              </w:rPr>
              <w:t>Unità di personale per ciascun anno del triennio 2025-2027</w:t>
            </w:r>
          </w:p>
        </w:tc>
        <w:tc>
          <w:tcPr>
            <w:tcW w:w="4934" w:type="dxa"/>
            <w:tcBorders>
              <w:top w:val="single" w:sz="4" w:space="0" w:color="auto"/>
              <w:left w:val="nil"/>
              <w:bottom w:val="single" w:sz="4" w:space="0" w:color="auto"/>
              <w:right w:val="single" w:sz="4" w:space="0" w:color="auto"/>
            </w:tcBorders>
            <w:noWrap/>
            <w:vAlign w:val="center"/>
          </w:tcPr>
          <w:p w14:paraId="3032BF48" w14:textId="77777777" w:rsidR="00D76C2B" w:rsidRPr="009A7CD7" w:rsidRDefault="00D76C2B" w:rsidP="00D76C2B">
            <w:pPr>
              <w:jc w:val="center"/>
              <w:rPr>
                <w:b/>
                <w:bCs/>
                <w:color w:val="000000"/>
                <w:sz w:val="22"/>
                <w:szCs w:val="22"/>
              </w:rPr>
            </w:pPr>
            <w:r w:rsidRPr="009A7CD7">
              <w:rPr>
                <w:b/>
                <w:bCs/>
                <w:color w:val="000000"/>
                <w:sz w:val="22"/>
                <w:szCs w:val="22"/>
              </w:rPr>
              <w:t>Importo per ciascun anno del triennio 2025-2027</w:t>
            </w:r>
          </w:p>
          <w:p w14:paraId="22E0EA39" w14:textId="5F2979C8" w:rsidR="000142C9" w:rsidRPr="009A7CD7" w:rsidRDefault="000142C9" w:rsidP="00D76C2B">
            <w:pPr>
              <w:jc w:val="center"/>
              <w:rPr>
                <w:b/>
                <w:bCs/>
                <w:color w:val="000000"/>
                <w:sz w:val="22"/>
                <w:szCs w:val="22"/>
              </w:rPr>
            </w:pPr>
            <w:r w:rsidRPr="009A7CD7">
              <w:rPr>
                <w:b/>
                <w:bCs/>
                <w:color w:val="000000"/>
                <w:sz w:val="22"/>
                <w:szCs w:val="22"/>
              </w:rPr>
              <w:t>(Euro)</w:t>
            </w:r>
          </w:p>
        </w:tc>
      </w:tr>
      <w:tr w:rsidR="00D76C2B" w:rsidRPr="009A7CD7" w14:paraId="64C957E1" w14:textId="77777777" w:rsidTr="000142C9">
        <w:trPr>
          <w:trHeight w:val="310"/>
        </w:trPr>
        <w:tc>
          <w:tcPr>
            <w:tcW w:w="2405" w:type="dxa"/>
            <w:tcBorders>
              <w:top w:val="nil"/>
              <w:left w:val="single" w:sz="4" w:space="0" w:color="auto"/>
              <w:bottom w:val="single" w:sz="4" w:space="0" w:color="auto"/>
              <w:right w:val="single" w:sz="4" w:space="0" w:color="auto"/>
            </w:tcBorders>
            <w:noWrap/>
            <w:vAlign w:val="bottom"/>
            <w:hideMark/>
          </w:tcPr>
          <w:p w14:paraId="59929DB2" w14:textId="77777777" w:rsidR="00D76C2B" w:rsidRPr="009A7CD7" w:rsidRDefault="00D76C2B" w:rsidP="00D76C2B">
            <w:pPr>
              <w:rPr>
                <w:color w:val="000000"/>
                <w:sz w:val="22"/>
                <w:szCs w:val="22"/>
              </w:rPr>
            </w:pPr>
            <w:r w:rsidRPr="009A7CD7">
              <w:rPr>
                <w:color w:val="000000"/>
                <w:sz w:val="22"/>
                <w:szCs w:val="22"/>
              </w:rPr>
              <w:t>Abruzzo</w:t>
            </w:r>
          </w:p>
        </w:tc>
        <w:tc>
          <w:tcPr>
            <w:tcW w:w="2295" w:type="dxa"/>
            <w:tcBorders>
              <w:top w:val="nil"/>
              <w:left w:val="nil"/>
              <w:bottom w:val="single" w:sz="4" w:space="0" w:color="auto"/>
              <w:right w:val="single" w:sz="4" w:space="0" w:color="auto"/>
            </w:tcBorders>
            <w:noWrap/>
            <w:vAlign w:val="center"/>
            <w:hideMark/>
          </w:tcPr>
          <w:p w14:paraId="68B8968B" w14:textId="77777777" w:rsidR="00D76C2B" w:rsidRPr="009A7CD7" w:rsidRDefault="00D76C2B" w:rsidP="00D76C2B">
            <w:pPr>
              <w:jc w:val="center"/>
              <w:rPr>
                <w:color w:val="000000"/>
                <w:sz w:val="22"/>
                <w:szCs w:val="22"/>
              </w:rPr>
            </w:pPr>
            <w:r w:rsidRPr="009A7CD7">
              <w:rPr>
                <w:color w:val="000000"/>
                <w:sz w:val="22"/>
                <w:szCs w:val="22"/>
              </w:rPr>
              <w:t>50</w:t>
            </w:r>
          </w:p>
        </w:tc>
        <w:tc>
          <w:tcPr>
            <w:tcW w:w="4934" w:type="dxa"/>
            <w:tcBorders>
              <w:top w:val="nil"/>
              <w:left w:val="nil"/>
              <w:bottom w:val="single" w:sz="4" w:space="0" w:color="auto"/>
              <w:right w:val="single" w:sz="4" w:space="0" w:color="auto"/>
            </w:tcBorders>
            <w:noWrap/>
            <w:vAlign w:val="center"/>
            <w:hideMark/>
          </w:tcPr>
          <w:p w14:paraId="0C744D62" w14:textId="77777777" w:rsidR="00D76C2B" w:rsidRPr="009A7CD7" w:rsidRDefault="00D76C2B" w:rsidP="000510A2">
            <w:pPr>
              <w:jc w:val="center"/>
              <w:rPr>
                <w:color w:val="000000"/>
                <w:sz w:val="22"/>
                <w:szCs w:val="22"/>
              </w:rPr>
            </w:pPr>
            <w:r w:rsidRPr="009A7CD7">
              <w:rPr>
                <w:color w:val="000000"/>
                <w:sz w:val="22"/>
                <w:szCs w:val="22"/>
              </w:rPr>
              <w:t>2.000.000</w:t>
            </w:r>
          </w:p>
        </w:tc>
      </w:tr>
      <w:tr w:rsidR="00D76C2B" w:rsidRPr="009A7CD7" w14:paraId="66156A5C" w14:textId="77777777" w:rsidTr="000142C9">
        <w:trPr>
          <w:trHeight w:val="310"/>
        </w:trPr>
        <w:tc>
          <w:tcPr>
            <w:tcW w:w="2405" w:type="dxa"/>
            <w:tcBorders>
              <w:top w:val="nil"/>
              <w:left w:val="single" w:sz="4" w:space="0" w:color="auto"/>
              <w:bottom w:val="single" w:sz="4" w:space="0" w:color="auto"/>
              <w:right w:val="single" w:sz="4" w:space="0" w:color="auto"/>
            </w:tcBorders>
            <w:noWrap/>
            <w:vAlign w:val="bottom"/>
            <w:hideMark/>
          </w:tcPr>
          <w:p w14:paraId="1B3D442F" w14:textId="77777777" w:rsidR="00D76C2B" w:rsidRPr="009A7CD7" w:rsidRDefault="00D76C2B" w:rsidP="00D76C2B">
            <w:pPr>
              <w:rPr>
                <w:color w:val="000000"/>
                <w:sz w:val="22"/>
                <w:szCs w:val="22"/>
              </w:rPr>
            </w:pPr>
            <w:r w:rsidRPr="009A7CD7">
              <w:rPr>
                <w:color w:val="000000"/>
                <w:sz w:val="22"/>
                <w:szCs w:val="22"/>
              </w:rPr>
              <w:t>Basilicata</w:t>
            </w:r>
          </w:p>
        </w:tc>
        <w:tc>
          <w:tcPr>
            <w:tcW w:w="2295" w:type="dxa"/>
            <w:tcBorders>
              <w:top w:val="nil"/>
              <w:left w:val="nil"/>
              <w:bottom w:val="single" w:sz="4" w:space="0" w:color="auto"/>
              <w:right w:val="single" w:sz="4" w:space="0" w:color="auto"/>
            </w:tcBorders>
            <w:noWrap/>
            <w:vAlign w:val="center"/>
            <w:hideMark/>
          </w:tcPr>
          <w:p w14:paraId="186D72B4" w14:textId="77777777" w:rsidR="00D76C2B" w:rsidRPr="009A7CD7" w:rsidRDefault="00D76C2B" w:rsidP="00D76C2B">
            <w:pPr>
              <w:jc w:val="center"/>
              <w:rPr>
                <w:color w:val="000000"/>
                <w:sz w:val="22"/>
                <w:szCs w:val="22"/>
              </w:rPr>
            </w:pPr>
            <w:r w:rsidRPr="009A7CD7">
              <w:rPr>
                <w:color w:val="000000"/>
                <w:sz w:val="22"/>
                <w:szCs w:val="22"/>
              </w:rPr>
              <w:t>19</w:t>
            </w:r>
          </w:p>
        </w:tc>
        <w:tc>
          <w:tcPr>
            <w:tcW w:w="4934" w:type="dxa"/>
            <w:tcBorders>
              <w:top w:val="nil"/>
              <w:left w:val="nil"/>
              <w:bottom w:val="single" w:sz="4" w:space="0" w:color="auto"/>
              <w:right w:val="single" w:sz="4" w:space="0" w:color="auto"/>
            </w:tcBorders>
            <w:noWrap/>
            <w:vAlign w:val="center"/>
            <w:hideMark/>
          </w:tcPr>
          <w:p w14:paraId="39D61CA3" w14:textId="77777777" w:rsidR="00D76C2B" w:rsidRPr="009A7CD7" w:rsidRDefault="00D76C2B" w:rsidP="000510A2">
            <w:pPr>
              <w:jc w:val="center"/>
              <w:rPr>
                <w:color w:val="000000"/>
                <w:sz w:val="22"/>
                <w:szCs w:val="22"/>
              </w:rPr>
            </w:pPr>
            <w:r w:rsidRPr="009A7CD7">
              <w:rPr>
                <w:color w:val="000000"/>
                <w:sz w:val="22"/>
                <w:szCs w:val="22"/>
              </w:rPr>
              <w:t>760.000</w:t>
            </w:r>
          </w:p>
        </w:tc>
      </w:tr>
      <w:tr w:rsidR="00D76C2B" w:rsidRPr="009A7CD7" w14:paraId="51004853" w14:textId="77777777" w:rsidTr="000142C9">
        <w:trPr>
          <w:trHeight w:val="310"/>
        </w:trPr>
        <w:tc>
          <w:tcPr>
            <w:tcW w:w="2405" w:type="dxa"/>
            <w:tcBorders>
              <w:top w:val="nil"/>
              <w:left w:val="single" w:sz="4" w:space="0" w:color="auto"/>
              <w:bottom w:val="single" w:sz="4" w:space="0" w:color="auto"/>
              <w:right w:val="single" w:sz="4" w:space="0" w:color="auto"/>
            </w:tcBorders>
            <w:noWrap/>
            <w:vAlign w:val="bottom"/>
            <w:hideMark/>
          </w:tcPr>
          <w:p w14:paraId="5E9E40C2" w14:textId="77777777" w:rsidR="00D76C2B" w:rsidRPr="009A7CD7" w:rsidRDefault="00D76C2B" w:rsidP="00D76C2B">
            <w:pPr>
              <w:rPr>
                <w:color w:val="000000"/>
                <w:sz w:val="22"/>
                <w:szCs w:val="22"/>
              </w:rPr>
            </w:pPr>
            <w:r w:rsidRPr="009A7CD7">
              <w:rPr>
                <w:color w:val="000000"/>
                <w:sz w:val="22"/>
                <w:szCs w:val="22"/>
              </w:rPr>
              <w:t>Calabria</w:t>
            </w:r>
          </w:p>
        </w:tc>
        <w:tc>
          <w:tcPr>
            <w:tcW w:w="2295" w:type="dxa"/>
            <w:tcBorders>
              <w:top w:val="nil"/>
              <w:left w:val="nil"/>
              <w:bottom w:val="single" w:sz="4" w:space="0" w:color="auto"/>
              <w:right w:val="single" w:sz="4" w:space="0" w:color="auto"/>
            </w:tcBorders>
            <w:noWrap/>
            <w:vAlign w:val="center"/>
            <w:hideMark/>
          </w:tcPr>
          <w:p w14:paraId="78273D8C" w14:textId="77777777" w:rsidR="00D76C2B" w:rsidRPr="009A7CD7" w:rsidRDefault="00D76C2B" w:rsidP="00D76C2B">
            <w:pPr>
              <w:jc w:val="center"/>
              <w:rPr>
                <w:color w:val="000000"/>
                <w:sz w:val="22"/>
                <w:szCs w:val="22"/>
              </w:rPr>
            </w:pPr>
            <w:r w:rsidRPr="009A7CD7">
              <w:rPr>
                <w:color w:val="000000"/>
                <w:sz w:val="22"/>
                <w:szCs w:val="22"/>
              </w:rPr>
              <w:t>67</w:t>
            </w:r>
          </w:p>
        </w:tc>
        <w:tc>
          <w:tcPr>
            <w:tcW w:w="4934" w:type="dxa"/>
            <w:tcBorders>
              <w:top w:val="nil"/>
              <w:left w:val="nil"/>
              <w:bottom w:val="single" w:sz="4" w:space="0" w:color="auto"/>
              <w:right w:val="single" w:sz="4" w:space="0" w:color="auto"/>
            </w:tcBorders>
            <w:noWrap/>
            <w:vAlign w:val="center"/>
            <w:hideMark/>
          </w:tcPr>
          <w:p w14:paraId="1471135B" w14:textId="77777777" w:rsidR="00D76C2B" w:rsidRPr="009A7CD7" w:rsidRDefault="00D76C2B" w:rsidP="000510A2">
            <w:pPr>
              <w:jc w:val="center"/>
              <w:rPr>
                <w:color w:val="000000"/>
                <w:sz w:val="22"/>
                <w:szCs w:val="22"/>
              </w:rPr>
            </w:pPr>
            <w:r w:rsidRPr="009A7CD7">
              <w:rPr>
                <w:color w:val="000000"/>
                <w:sz w:val="22"/>
                <w:szCs w:val="22"/>
              </w:rPr>
              <w:t>2.680.000</w:t>
            </w:r>
          </w:p>
        </w:tc>
      </w:tr>
      <w:tr w:rsidR="00D76C2B" w:rsidRPr="009A7CD7" w14:paraId="6261CFAE" w14:textId="77777777" w:rsidTr="000142C9">
        <w:trPr>
          <w:trHeight w:val="310"/>
        </w:trPr>
        <w:tc>
          <w:tcPr>
            <w:tcW w:w="2405" w:type="dxa"/>
            <w:tcBorders>
              <w:top w:val="nil"/>
              <w:left w:val="single" w:sz="4" w:space="0" w:color="auto"/>
              <w:bottom w:val="single" w:sz="4" w:space="0" w:color="auto"/>
              <w:right w:val="single" w:sz="4" w:space="0" w:color="auto"/>
            </w:tcBorders>
            <w:noWrap/>
            <w:vAlign w:val="bottom"/>
            <w:hideMark/>
          </w:tcPr>
          <w:p w14:paraId="12E36FD2" w14:textId="77777777" w:rsidR="00D76C2B" w:rsidRPr="009A7CD7" w:rsidRDefault="00D76C2B" w:rsidP="00D76C2B">
            <w:pPr>
              <w:rPr>
                <w:color w:val="000000"/>
                <w:sz w:val="22"/>
                <w:szCs w:val="22"/>
              </w:rPr>
            </w:pPr>
            <w:r w:rsidRPr="009A7CD7">
              <w:rPr>
                <w:color w:val="000000"/>
                <w:sz w:val="22"/>
                <w:szCs w:val="22"/>
              </w:rPr>
              <w:t>Campania</w:t>
            </w:r>
          </w:p>
        </w:tc>
        <w:tc>
          <w:tcPr>
            <w:tcW w:w="2295" w:type="dxa"/>
            <w:tcBorders>
              <w:top w:val="nil"/>
              <w:left w:val="nil"/>
              <w:bottom w:val="single" w:sz="4" w:space="0" w:color="auto"/>
              <w:right w:val="single" w:sz="4" w:space="0" w:color="auto"/>
            </w:tcBorders>
            <w:noWrap/>
            <w:vAlign w:val="center"/>
            <w:hideMark/>
          </w:tcPr>
          <w:p w14:paraId="3A4592B2" w14:textId="77777777" w:rsidR="00D76C2B" w:rsidRPr="009A7CD7" w:rsidRDefault="00D76C2B" w:rsidP="00D76C2B">
            <w:pPr>
              <w:jc w:val="center"/>
              <w:rPr>
                <w:color w:val="000000"/>
                <w:sz w:val="22"/>
                <w:szCs w:val="22"/>
              </w:rPr>
            </w:pPr>
            <w:r w:rsidRPr="009A7CD7">
              <w:rPr>
                <w:color w:val="000000"/>
                <w:sz w:val="22"/>
                <w:szCs w:val="22"/>
              </w:rPr>
              <w:t>128</w:t>
            </w:r>
          </w:p>
        </w:tc>
        <w:tc>
          <w:tcPr>
            <w:tcW w:w="4934" w:type="dxa"/>
            <w:tcBorders>
              <w:top w:val="nil"/>
              <w:left w:val="nil"/>
              <w:bottom w:val="single" w:sz="4" w:space="0" w:color="auto"/>
              <w:right w:val="single" w:sz="4" w:space="0" w:color="auto"/>
            </w:tcBorders>
            <w:noWrap/>
            <w:vAlign w:val="center"/>
            <w:hideMark/>
          </w:tcPr>
          <w:p w14:paraId="1A19947A" w14:textId="77777777" w:rsidR="00D76C2B" w:rsidRPr="009A7CD7" w:rsidRDefault="00D76C2B" w:rsidP="000510A2">
            <w:pPr>
              <w:jc w:val="center"/>
              <w:rPr>
                <w:color w:val="000000"/>
                <w:sz w:val="22"/>
                <w:szCs w:val="22"/>
              </w:rPr>
            </w:pPr>
            <w:r w:rsidRPr="009A7CD7">
              <w:rPr>
                <w:color w:val="000000"/>
                <w:sz w:val="22"/>
                <w:szCs w:val="22"/>
              </w:rPr>
              <w:t>5.120.000</w:t>
            </w:r>
          </w:p>
        </w:tc>
      </w:tr>
      <w:tr w:rsidR="00D76C2B" w:rsidRPr="009A7CD7" w14:paraId="42FF5279" w14:textId="77777777" w:rsidTr="000142C9">
        <w:trPr>
          <w:trHeight w:val="310"/>
        </w:trPr>
        <w:tc>
          <w:tcPr>
            <w:tcW w:w="2405" w:type="dxa"/>
            <w:tcBorders>
              <w:top w:val="nil"/>
              <w:left w:val="single" w:sz="4" w:space="0" w:color="auto"/>
              <w:bottom w:val="single" w:sz="4" w:space="0" w:color="auto"/>
              <w:right w:val="single" w:sz="4" w:space="0" w:color="auto"/>
            </w:tcBorders>
            <w:noWrap/>
            <w:vAlign w:val="bottom"/>
            <w:hideMark/>
          </w:tcPr>
          <w:p w14:paraId="5D692B5D" w14:textId="77777777" w:rsidR="00D76C2B" w:rsidRPr="009A7CD7" w:rsidRDefault="00D76C2B" w:rsidP="00D76C2B">
            <w:pPr>
              <w:rPr>
                <w:color w:val="000000"/>
                <w:sz w:val="22"/>
                <w:szCs w:val="22"/>
              </w:rPr>
            </w:pPr>
            <w:r w:rsidRPr="009A7CD7">
              <w:rPr>
                <w:color w:val="000000"/>
                <w:sz w:val="22"/>
                <w:szCs w:val="22"/>
              </w:rPr>
              <w:t>Emilia-Romagna</w:t>
            </w:r>
          </w:p>
        </w:tc>
        <w:tc>
          <w:tcPr>
            <w:tcW w:w="2295" w:type="dxa"/>
            <w:tcBorders>
              <w:top w:val="nil"/>
              <w:left w:val="nil"/>
              <w:bottom w:val="single" w:sz="4" w:space="0" w:color="auto"/>
              <w:right w:val="single" w:sz="4" w:space="0" w:color="auto"/>
            </w:tcBorders>
            <w:noWrap/>
            <w:vAlign w:val="center"/>
            <w:hideMark/>
          </w:tcPr>
          <w:p w14:paraId="26B170DE" w14:textId="77777777" w:rsidR="00D76C2B" w:rsidRPr="009A7CD7" w:rsidRDefault="00D76C2B" w:rsidP="00D76C2B">
            <w:pPr>
              <w:jc w:val="center"/>
              <w:rPr>
                <w:color w:val="000000"/>
                <w:sz w:val="22"/>
                <w:szCs w:val="22"/>
              </w:rPr>
            </w:pPr>
            <w:r w:rsidRPr="009A7CD7">
              <w:rPr>
                <w:color w:val="000000"/>
                <w:sz w:val="22"/>
                <w:szCs w:val="22"/>
              </w:rPr>
              <w:t>84</w:t>
            </w:r>
          </w:p>
        </w:tc>
        <w:tc>
          <w:tcPr>
            <w:tcW w:w="4934" w:type="dxa"/>
            <w:tcBorders>
              <w:top w:val="nil"/>
              <w:left w:val="nil"/>
              <w:bottom w:val="single" w:sz="4" w:space="0" w:color="auto"/>
              <w:right w:val="single" w:sz="4" w:space="0" w:color="auto"/>
            </w:tcBorders>
            <w:noWrap/>
            <w:vAlign w:val="center"/>
            <w:hideMark/>
          </w:tcPr>
          <w:p w14:paraId="0043C593" w14:textId="77777777" w:rsidR="00D76C2B" w:rsidRPr="009A7CD7" w:rsidRDefault="00D76C2B" w:rsidP="000510A2">
            <w:pPr>
              <w:jc w:val="center"/>
              <w:rPr>
                <w:color w:val="000000"/>
                <w:sz w:val="22"/>
                <w:szCs w:val="22"/>
              </w:rPr>
            </w:pPr>
            <w:r w:rsidRPr="009A7CD7">
              <w:rPr>
                <w:color w:val="000000"/>
                <w:sz w:val="22"/>
                <w:szCs w:val="22"/>
              </w:rPr>
              <w:t>3.360.000</w:t>
            </w:r>
          </w:p>
        </w:tc>
      </w:tr>
      <w:tr w:rsidR="00D76C2B" w:rsidRPr="009A7CD7" w14:paraId="0B023BDF" w14:textId="77777777" w:rsidTr="000142C9">
        <w:trPr>
          <w:trHeight w:val="310"/>
        </w:trPr>
        <w:tc>
          <w:tcPr>
            <w:tcW w:w="2405" w:type="dxa"/>
            <w:tcBorders>
              <w:top w:val="nil"/>
              <w:left w:val="single" w:sz="4" w:space="0" w:color="auto"/>
              <w:bottom w:val="single" w:sz="4" w:space="0" w:color="auto"/>
              <w:right w:val="single" w:sz="4" w:space="0" w:color="auto"/>
            </w:tcBorders>
            <w:noWrap/>
            <w:vAlign w:val="bottom"/>
            <w:hideMark/>
          </w:tcPr>
          <w:p w14:paraId="580BBD08" w14:textId="77777777" w:rsidR="00D76C2B" w:rsidRPr="009A7CD7" w:rsidRDefault="00D76C2B" w:rsidP="00D76C2B">
            <w:pPr>
              <w:rPr>
                <w:color w:val="000000"/>
                <w:sz w:val="22"/>
                <w:szCs w:val="22"/>
              </w:rPr>
            </w:pPr>
            <w:r w:rsidRPr="009A7CD7">
              <w:rPr>
                <w:color w:val="000000"/>
                <w:sz w:val="22"/>
                <w:szCs w:val="22"/>
              </w:rPr>
              <w:t>Friuli-Venezia Giulia</w:t>
            </w:r>
          </w:p>
        </w:tc>
        <w:tc>
          <w:tcPr>
            <w:tcW w:w="2295" w:type="dxa"/>
            <w:tcBorders>
              <w:top w:val="nil"/>
              <w:left w:val="nil"/>
              <w:bottom w:val="single" w:sz="4" w:space="0" w:color="auto"/>
              <w:right w:val="single" w:sz="4" w:space="0" w:color="auto"/>
            </w:tcBorders>
            <w:noWrap/>
            <w:vAlign w:val="center"/>
            <w:hideMark/>
          </w:tcPr>
          <w:p w14:paraId="555FB24C" w14:textId="77777777" w:rsidR="00D76C2B" w:rsidRPr="009A7CD7" w:rsidRDefault="00D76C2B" w:rsidP="00D76C2B">
            <w:pPr>
              <w:jc w:val="center"/>
              <w:rPr>
                <w:color w:val="000000"/>
                <w:sz w:val="22"/>
                <w:szCs w:val="22"/>
              </w:rPr>
            </w:pPr>
            <w:r w:rsidRPr="009A7CD7">
              <w:rPr>
                <w:color w:val="000000"/>
                <w:sz w:val="22"/>
                <w:szCs w:val="22"/>
              </w:rPr>
              <w:t>38</w:t>
            </w:r>
          </w:p>
        </w:tc>
        <w:tc>
          <w:tcPr>
            <w:tcW w:w="4934" w:type="dxa"/>
            <w:tcBorders>
              <w:top w:val="nil"/>
              <w:left w:val="nil"/>
              <w:bottom w:val="single" w:sz="4" w:space="0" w:color="auto"/>
              <w:right w:val="single" w:sz="4" w:space="0" w:color="auto"/>
            </w:tcBorders>
            <w:noWrap/>
            <w:vAlign w:val="center"/>
            <w:hideMark/>
          </w:tcPr>
          <w:p w14:paraId="5347F802" w14:textId="77777777" w:rsidR="00D76C2B" w:rsidRPr="009A7CD7" w:rsidRDefault="00D76C2B" w:rsidP="000510A2">
            <w:pPr>
              <w:jc w:val="center"/>
              <w:rPr>
                <w:color w:val="000000"/>
                <w:sz w:val="22"/>
                <w:szCs w:val="22"/>
              </w:rPr>
            </w:pPr>
            <w:r w:rsidRPr="009A7CD7">
              <w:rPr>
                <w:color w:val="000000"/>
                <w:sz w:val="22"/>
                <w:szCs w:val="22"/>
              </w:rPr>
              <w:t>1.520.000</w:t>
            </w:r>
          </w:p>
        </w:tc>
      </w:tr>
      <w:tr w:rsidR="00D76C2B" w:rsidRPr="009A7CD7" w14:paraId="485A50AA" w14:textId="77777777" w:rsidTr="000142C9">
        <w:trPr>
          <w:trHeight w:val="310"/>
        </w:trPr>
        <w:tc>
          <w:tcPr>
            <w:tcW w:w="2405" w:type="dxa"/>
            <w:tcBorders>
              <w:top w:val="nil"/>
              <w:left w:val="single" w:sz="4" w:space="0" w:color="auto"/>
              <w:bottom w:val="single" w:sz="4" w:space="0" w:color="auto"/>
              <w:right w:val="single" w:sz="4" w:space="0" w:color="auto"/>
            </w:tcBorders>
            <w:noWrap/>
            <w:vAlign w:val="bottom"/>
            <w:hideMark/>
          </w:tcPr>
          <w:p w14:paraId="6FBF9700" w14:textId="77777777" w:rsidR="00D76C2B" w:rsidRPr="009A7CD7" w:rsidRDefault="00D76C2B" w:rsidP="00D76C2B">
            <w:pPr>
              <w:rPr>
                <w:color w:val="000000"/>
                <w:sz w:val="22"/>
                <w:szCs w:val="22"/>
              </w:rPr>
            </w:pPr>
            <w:r w:rsidRPr="009A7CD7">
              <w:rPr>
                <w:color w:val="000000"/>
                <w:sz w:val="22"/>
                <w:szCs w:val="22"/>
              </w:rPr>
              <w:t>Lazio</w:t>
            </w:r>
          </w:p>
        </w:tc>
        <w:tc>
          <w:tcPr>
            <w:tcW w:w="2295" w:type="dxa"/>
            <w:tcBorders>
              <w:top w:val="nil"/>
              <w:left w:val="nil"/>
              <w:bottom w:val="single" w:sz="4" w:space="0" w:color="auto"/>
              <w:right w:val="single" w:sz="4" w:space="0" w:color="auto"/>
            </w:tcBorders>
            <w:noWrap/>
            <w:vAlign w:val="center"/>
            <w:hideMark/>
          </w:tcPr>
          <w:p w14:paraId="2410D5A9" w14:textId="77777777" w:rsidR="00D76C2B" w:rsidRPr="009A7CD7" w:rsidRDefault="00D76C2B" w:rsidP="00D76C2B">
            <w:pPr>
              <w:jc w:val="center"/>
              <w:rPr>
                <w:color w:val="000000"/>
                <w:sz w:val="22"/>
                <w:szCs w:val="22"/>
              </w:rPr>
            </w:pPr>
            <w:r w:rsidRPr="009A7CD7">
              <w:rPr>
                <w:color w:val="000000"/>
                <w:sz w:val="22"/>
                <w:szCs w:val="22"/>
              </w:rPr>
              <w:t>83</w:t>
            </w:r>
          </w:p>
        </w:tc>
        <w:tc>
          <w:tcPr>
            <w:tcW w:w="4934" w:type="dxa"/>
            <w:tcBorders>
              <w:top w:val="nil"/>
              <w:left w:val="nil"/>
              <w:bottom w:val="single" w:sz="4" w:space="0" w:color="auto"/>
              <w:right w:val="single" w:sz="4" w:space="0" w:color="auto"/>
            </w:tcBorders>
            <w:noWrap/>
            <w:vAlign w:val="center"/>
            <w:hideMark/>
          </w:tcPr>
          <w:p w14:paraId="34E17535" w14:textId="77777777" w:rsidR="00D76C2B" w:rsidRPr="009A7CD7" w:rsidRDefault="00D76C2B" w:rsidP="000510A2">
            <w:pPr>
              <w:jc w:val="center"/>
              <w:rPr>
                <w:color w:val="000000"/>
                <w:sz w:val="22"/>
                <w:szCs w:val="22"/>
              </w:rPr>
            </w:pPr>
            <w:r w:rsidRPr="009A7CD7">
              <w:rPr>
                <w:color w:val="000000"/>
                <w:sz w:val="22"/>
                <w:szCs w:val="22"/>
              </w:rPr>
              <w:t>3.320.000</w:t>
            </w:r>
          </w:p>
        </w:tc>
      </w:tr>
      <w:tr w:rsidR="00D76C2B" w:rsidRPr="009A7CD7" w14:paraId="69FD67CC" w14:textId="77777777" w:rsidTr="000142C9">
        <w:trPr>
          <w:trHeight w:val="310"/>
        </w:trPr>
        <w:tc>
          <w:tcPr>
            <w:tcW w:w="2405" w:type="dxa"/>
            <w:tcBorders>
              <w:top w:val="nil"/>
              <w:left w:val="single" w:sz="4" w:space="0" w:color="auto"/>
              <w:bottom w:val="single" w:sz="4" w:space="0" w:color="auto"/>
              <w:right w:val="single" w:sz="4" w:space="0" w:color="auto"/>
            </w:tcBorders>
            <w:noWrap/>
            <w:vAlign w:val="bottom"/>
            <w:hideMark/>
          </w:tcPr>
          <w:p w14:paraId="4BD55E80" w14:textId="77777777" w:rsidR="00D76C2B" w:rsidRPr="009A7CD7" w:rsidRDefault="00D76C2B" w:rsidP="00D76C2B">
            <w:pPr>
              <w:rPr>
                <w:color w:val="000000"/>
                <w:sz w:val="22"/>
                <w:szCs w:val="22"/>
              </w:rPr>
            </w:pPr>
            <w:r w:rsidRPr="009A7CD7">
              <w:rPr>
                <w:color w:val="000000"/>
                <w:sz w:val="22"/>
                <w:szCs w:val="22"/>
              </w:rPr>
              <w:t>Liguria</w:t>
            </w:r>
          </w:p>
        </w:tc>
        <w:tc>
          <w:tcPr>
            <w:tcW w:w="2295" w:type="dxa"/>
            <w:tcBorders>
              <w:top w:val="nil"/>
              <w:left w:val="nil"/>
              <w:bottom w:val="single" w:sz="4" w:space="0" w:color="auto"/>
              <w:right w:val="single" w:sz="4" w:space="0" w:color="auto"/>
            </w:tcBorders>
            <w:noWrap/>
            <w:vAlign w:val="center"/>
            <w:hideMark/>
          </w:tcPr>
          <w:p w14:paraId="53973F0C" w14:textId="77777777" w:rsidR="00D76C2B" w:rsidRPr="009A7CD7" w:rsidRDefault="00D76C2B" w:rsidP="00D76C2B">
            <w:pPr>
              <w:jc w:val="center"/>
              <w:rPr>
                <w:color w:val="000000"/>
                <w:sz w:val="22"/>
                <w:szCs w:val="22"/>
              </w:rPr>
            </w:pPr>
            <w:r w:rsidRPr="009A7CD7">
              <w:rPr>
                <w:color w:val="000000"/>
                <w:sz w:val="22"/>
                <w:szCs w:val="22"/>
              </w:rPr>
              <w:t>39</w:t>
            </w:r>
          </w:p>
        </w:tc>
        <w:tc>
          <w:tcPr>
            <w:tcW w:w="4934" w:type="dxa"/>
            <w:tcBorders>
              <w:top w:val="nil"/>
              <w:left w:val="nil"/>
              <w:bottom w:val="single" w:sz="4" w:space="0" w:color="auto"/>
              <w:right w:val="single" w:sz="4" w:space="0" w:color="auto"/>
            </w:tcBorders>
            <w:noWrap/>
            <w:vAlign w:val="center"/>
            <w:hideMark/>
          </w:tcPr>
          <w:p w14:paraId="6C5A946F" w14:textId="77777777" w:rsidR="00D76C2B" w:rsidRPr="009A7CD7" w:rsidRDefault="00D76C2B" w:rsidP="000510A2">
            <w:pPr>
              <w:jc w:val="center"/>
              <w:rPr>
                <w:color w:val="000000"/>
                <w:sz w:val="22"/>
                <w:szCs w:val="22"/>
              </w:rPr>
            </w:pPr>
            <w:r w:rsidRPr="009A7CD7">
              <w:rPr>
                <w:color w:val="000000"/>
                <w:sz w:val="22"/>
                <w:szCs w:val="22"/>
              </w:rPr>
              <w:t>1.560.000</w:t>
            </w:r>
          </w:p>
        </w:tc>
      </w:tr>
      <w:tr w:rsidR="00D76C2B" w:rsidRPr="009A7CD7" w14:paraId="4983A12F" w14:textId="77777777" w:rsidTr="000142C9">
        <w:trPr>
          <w:trHeight w:val="310"/>
        </w:trPr>
        <w:tc>
          <w:tcPr>
            <w:tcW w:w="2405" w:type="dxa"/>
            <w:tcBorders>
              <w:top w:val="nil"/>
              <w:left w:val="single" w:sz="4" w:space="0" w:color="auto"/>
              <w:bottom w:val="single" w:sz="4" w:space="0" w:color="auto"/>
              <w:right w:val="single" w:sz="4" w:space="0" w:color="auto"/>
            </w:tcBorders>
            <w:noWrap/>
            <w:vAlign w:val="bottom"/>
            <w:hideMark/>
          </w:tcPr>
          <w:p w14:paraId="3983F884" w14:textId="77777777" w:rsidR="00D76C2B" w:rsidRPr="009A7CD7" w:rsidRDefault="00D76C2B" w:rsidP="00D76C2B">
            <w:pPr>
              <w:rPr>
                <w:color w:val="000000"/>
                <w:sz w:val="22"/>
                <w:szCs w:val="22"/>
              </w:rPr>
            </w:pPr>
            <w:r w:rsidRPr="009A7CD7">
              <w:rPr>
                <w:color w:val="000000"/>
                <w:sz w:val="22"/>
                <w:szCs w:val="22"/>
              </w:rPr>
              <w:t>Lombardia</w:t>
            </w:r>
          </w:p>
        </w:tc>
        <w:tc>
          <w:tcPr>
            <w:tcW w:w="2295" w:type="dxa"/>
            <w:tcBorders>
              <w:top w:val="nil"/>
              <w:left w:val="nil"/>
              <w:bottom w:val="single" w:sz="4" w:space="0" w:color="auto"/>
              <w:right w:val="single" w:sz="4" w:space="0" w:color="auto"/>
            </w:tcBorders>
            <w:noWrap/>
            <w:vAlign w:val="center"/>
            <w:hideMark/>
          </w:tcPr>
          <w:p w14:paraId="16E1C004" w14:textId="77777777" w:rsidR="00D76C2B" w:rsidRPr="009A7CD7" w:rsidRDefault="00D76C2B" w:rsidP="00D76C2B">
            <w:pPr>
              <w:jc w:val="center"/>
              <w:rPr>
                <w:color w:val="000000"/>
                <w:sz w:val="22"/>
                <w:szCs w:val="22"/>
              </w:rPr>
            </w:pPr>
            <w:r w:rsidRPr="009A7CD7">
              <w:rPr>
                <w:color w:val="000000"/>
                <w:sz w:val="22"/>
                <w:szCs w:val="22"/>
              </w:rPr>
              <w:t>198</w:t>
            </w:r>
          </w:p>
        </w:tc>
        <w:tc>
          <w:tcPr>
            <w:tcW w:w="4934" w:type="dxa"/>
            <w:tcBorders>
              <w:top w:val="nil"/>
              <w:left w:val="nil"/>
              <w:bottom w:val="single" w:sz="4" w:space="0" w:color="auto"/>
              <w:right w:val="single" w:sz="4" w:space="0" w:color="auto"/>
            </w:tcBorders>
            <w:noWrap/>
            <w:vAlign w:val="center"/>
            <w:hideMark/>
          </w:tcPr>
          <w:p w14:paraId="6D9007AE" w14:textId="77777777" w:rsidR="00D76C2B" w:rsidRPr="009A7CD7" w:rsidRDefault="00D76C2B" w:rsidP="000510A2">
            <w:pPr>
              <w:jc w:val="center"/>
              <w:rPr>
                <w:color w:val="000000"/>
                <w:sz w:val="22"/>
                <w:szCs w:val="22"/>
              </w:rPr>
            </w:pPr>
            <w:r w:rsidRPr="009A7CD7">
              <w:rPr>
                <w:color w:val="000000"/>
                <w:sz w:val="22"/>
                <w:szCs w:val="22"/>
              </w:rPr>
              <w:t>7.920.000</w:t>
            </w:r>
          </w:p>
        </w:tc>
      </w:tr>
      <w:tr w:rsidR="00D76C2B" w:rsidRPr="009A7CD7" w14:paraId="010469F8" w14:textId="77777777" w:rsidTr="000142C9">
        <w:trPr>
          <w:trHeight w:val="310"/>
        </w:trPr>
        <w:tc>
          <w:tcPr>
            <w:tcW w:w="2405" w:type="dxa"/>
            <w:tcBorders>
              <w:top w:val="nil"/>
              <w:left w:val="single" w:sz="4" w:space="0" w:color="auto"/>
              <w:bottom w:val="single" w:sz="4" w:space="0" w:color="auto"/>
              <w:right w:val="single" w:sz="4" w:space="0" w:color="auto"/>
            </w:tcBorders>
            <w:noWrap/>
            <w:vAlign w:val="bottom"/>
            <w:hideMark/>
          </w:tcPr>
          <w:p w14:paraId="59CB7565" w14:textId="77777777" w:rsidR="00D76C2B" w:rsidRPr="009A7CD7" w:rsidRDefault="00D76C2B" w:rsidP="00D76C2B">
            <w:pPr>
              <w:rPr>
                <w:color w:val="000000"/>
                <w:sz w:val="22"/>
                <w:szCs w:val="22"/>
              </w:rPr>
            </w:pPr>
            <w:r w:rsidRPr="009A7CD7">
              <w:rPr>
                <w:color w:val="000000"/>
                <w:sz w:val="22"/>
                <w:szCs w:val="22"/>
              </w:rPr>
              <w:t>Marche</w:t>
            </w:r>
          </w:p>
        </w:tc>
        <w:tc>
          <w:tcPr>
            <w:tcW w:w="2295" w:type="dxa"/>
            <w:tcBorders>
              <w:top w:val="nil"/>
              <w:left w:val="nil"/>
              <w:bottom w:val="single" w:sz="4" w:space="0" w:color="auto"/>
              <w:right w:val="single" w:sz="4" w:space="0" w:color="auto"/>
            </w:tcBorders>
            <w:noWrap/>
            <w:vAlign w:val="center"/>
            <w:hideMark/>
          </w:tcPr>
          <w:p w14:paraId="6D637E0D" w14:textId="77777777" w:rsidR="00D76C2B" w:rsidRPr="009A7CD7" w:rsidRDefault="00D76C2B" w:rsidP="00D76C2B">
            <w:pPr>
              <w:jc w:val="center"/>
              <w:rPr>
                <w:color w:val="000000"/>
                <w:sz w:val="22"/>
                <w:szCs w:val="22"/>
              </w:rPr>
            </w:pPr>
            <w:r w:rsidRPr="009A7CD7">
              <w:rPr>
                <w:color w:val="000000"/>
                <w:sz w:val="22"/>
                <w:szCs w:val="22"/>
              </w:rPr>
              <w:t>49</w:t>
            </w:r>
          </w:p>
        </w:tc>
        <w:tc>
          <w:tcPr>
            <w:tcW w:w="4934" w:type="dxa"/>
            <w:tcBorders>
              <w:top w:val="nil"/>
              <w:left w:val="nil"/>
              <w:bottom w:val="single" w:sz="4" w:space="0" w:color="auto"/>
              <w:right w:val="single" w:sz="4" w:space="0" w:color="auto"/>
            </w:tcBorders>
            <w:noWrap/>
            <w:vAlign w:val="center"/>
            <w:hideMark/>
          </w:tcPr>
          <w:p w14:paraId="1CE7BB2D" w14:textId="77777777" w:rsidR="00D76C2B" w:rsidRPr="009A7CD7" w:rsidRDefault="00D76C2B" w:rsidP="000510A2">
            <w:pPr>
              <w:jc w:val="center"/>
              <w:rPr>
                <w:color w:val="000000"/>
                <w:sz w:val="22"/>
                <w:szCs w:val="22"/>
              </w:rPr>
            </w:pPr>
            <w:r w:rsidRPr="009A7CD7">
              <w:rPr>
                <w:color w:val="000000"/>
                <w:sz w:val="22"/>
                <w:szCs w:val="22"/>
              </w:rPr>
              <w:t>1.960.000</w:t>
            </w:r>
          </w:p>
        </w:tc>
      </w:tr>
      <w:tr w:rsidR="00D76C2B" w:rsidRPr="009A7CD7" w14:paraId="2E1C1F17" w14:textId="77777777" w:rsidTr="000142C9">
        <w:trPr>
          <w:trHeight w:val="310"/>
        </w:trPr>
        <w:tc>
          <w:tcPr>
            <w:tcW w:w="2405" w:type="dxa"/>
            <w:tcBorders>
              <w:top w:val="nil"/>
              <w:left w:val="single" w:sz="4" w:space="0" w:color="auto"/>
              <w:bottom w:val="single" w:sz="4" w:space="0" w:color="auto"/>
              <w:right w:val="single" w:sz="4" w:space="0" w:color="auto"/>
            </w:tcBorders>
            <w:noWrap/>
            <w:vAlign w:val="bottom"/>
            <w:hideMark/>
          </w:tcPr>
          <w:p w14:paraId="2162008C" w14:textId="77777777" w:rsidR="00D76C2B" w:rsidRPr="009A7CD7" w:rsidRDefault="00D76C2B" w:rsidP="00D76C2B">
            <w:pPr>
              <w:rPr>
                <w:color w:val="000000"/>
                <w:sz w:val="22"/>
                <w:szCs w:val="22"/>
              </w:rPr>
            </w:pPr>
            <w:r w:rsidRPr="009A7CD7">
              <w:rPr>
                <w:color w:val="000000"/>
                <w:sz w:val="22"/>
                <w:szCs w:val="22"/>
              </w:rPr>
              <w:t>Molise</w:t>
            </w:r>
          </w:p>
        </w:tc>
        <w:tc>
          <w:tcPr>
            <w:tcW w:w="2295" w:type="dxa"/>
            <w:tcBorders>
              <w:top w:val="nil"/>
              <w:left w:val="nil"/>
              <w:bottom w:val="single" w:sz="4" w:space="0" w:color="auto"/>
              <w:right w:val="single" w:sz="4" w:space="0" w:color="auto"/>
            </w:tcBorders>
            <w:noWrap/>
            <w:vAlign w:val="center"/>
            <w:hideMark/>
          </w:tcPr>
          <w:p w14:paraId="47BBD034" w14:textId="77777777" w:rsidR="00D76C2B" w:rsidRPr="009A7CD7" w:rsidRDefault="00D76C2B" w:rsidP="00D76C2B">
            <w:pPr>
              <w:jc w:val="center"/>
              <w:rPr>
                <w:color w:val="000000"/>
                <w:sz w:val="22"/>
                <w:szCs w:val="22"/>
              </w:rPr>
            </w:pPr>
            <w:r w:rsidRPr="009A7CD7">
              <w:rPr>
                <w:color w:val="000000"/>
                <w:sz w:val="22"/>
                <w:szCs w:val="22"/>
              </w:rPr>
              <w:t>15</w:t>
            </w:r>
          </w:p>
        </w:tc>
        <w:tc>
          <w:tcPr>
            <w:tcW w:w="4934" w:type="dxa"/>
            <w:tcBorders>
              <w:top w:val="nil"/>
              <w:left w:val="nil"/>
              <w:bottom w:val="single" w:sz="4" w:space="0" w:color="auto"/>
              <w:right w:val="single" w:sz="4" w:space="0" w:color="auto"/>
            </w:tcBorders>
            <w:noWrap/>
            <w:vAlign w:val="center"/>
            <w:hideMark/>
          </w:tcPr>
          <w:p w14:paraId="0B2F3BF7" w14:textId="77777777" w:rsidR="00D76C2B" w:rsidRPr="009A7CD7" w:rsidRDefault="00D76C2B" w:rsidP="000510A2">
            <w:pPr>
              <w:jc w:val="center"/>
              <w:rPr>
                <w:color w:val="000000"/>
                <w:sz w:val="22"/>
                <w:szCs w:val="22"/>
              </w:rPr>
            </w:pPr>
            <w:r w:rsidRPr="009A7CD7">
              <w:rPr>
                <w:color w:val="000000"/>
                <w:sz w:val="22"/>
                <w:szCs w:val="22"/>
              </w:rPr>
              <w:t>600.000</w:t>
            </w:r>
          </w:p>
        </w:tc>
      </w:tr>
      <w:tr w:rsidR="00D76C2B" w:rsidRPr="009A7CD7" w14:paraId="7C1EE6FC" w14:textId="77777777" w:rsidTr="000142C9">
        <w:trPr>
          <w:trHeight w:val="310"/>
        </w:trPr>
        <w:tc>
          <w:tcPr>
            <w:tcW w:w="2405" w:type="dxa"/>
            <w:tcBorders>
              <w:top w:val="nil"/>
              <w:left w:val="single" w:sz="4" w:space="0" w:color="auto"/>
              <w:bottom w:val="single" w:sz="4" w:space="0" w:color="auto"/>
              <w:right w:val="single" w:sz="4" w:space="0" w:color="auto"/>
            </w:tcBorders>
            <w:noWrap/>
            <w:vAlign w:val="bottom"/>
            <w:hideMark/>
          </w:tcPr>
          <w:p w14:paraId="07E17D37" w14:textId="77777777" w:rsidR="00D76C2B" w:rsidRPr="009A7CD7" w:rsidRDefault="00D76C2B" w:rsidP="00D76C2B">
            <w:pPr>
              <w:rPr>
                <w:color w:val="000000"/>
                <w:sz w:val="22"/>
                <w:szCs w:val="22"/>
              </w:rPr>
            </w:pPr>
            <w:r w:rsidRPr="009A7CD7">
              <w:rPr>
                <w:color w:val="000000"/>
                <w:sz w:val="22"/>
                <w:szCs w:val="22"/>
              </w:rPr>
              <w:t>Piemonte</w:t>
            </w:r>
          </w:p>
        </w:tc>
        <w:tc>
          <w:tcPr>
            <w:tcW w:w="2295" w:type="dxa"/>
            <w:tcBorders>
              <w:top w:val="nil"/>
              <w:left w:val="nil"/>
              <w:bottom w:val="single" w:sz="4" w:space="0" w:color="auto"/>
              <w:right w:val="single" w:sz="4" w:space="0" w:color="auto"/>
            </w:tcBorders>
            <w:noWrap/>
            <w:vAlign w:val="center"/>
            <w:hideMark/>
          </w:tcPr>
          <w:p w14:paraId="708D61DF" w14:textId="77777777" w:rsidR="00D76C2B" w:rsidRPr="009A7CD7" w:rsidRDefault="00D76C2B" w:rsidP="00D76C2B">
            <w:pPr>
              <w:jc w:val="center"/>
              <w:rPr>
                <w:color w:val="000000"/>
                <w:sz w:val="22"/>
                <w:szCs w:val="22"/>
              </w:rPr>
            </w:pPr>
            <w:r w:rsidRPr="009A7CD7">
              <w:rPr>
                <w:color w:val="000000"/>
                <w:sz w:val="22"/>
                <w:szCs w:val="22"/>
              </w:rPr>
              <w:t>72</w:t>
            </w:r>
          </w:p>
        </w:tc>
        <w:tc>
          <w:tcPr>
            <w:tcW w:w="4934" w:type="dxa"/>
            <w:tcBorders>
              <w:top w:val="nil"/>
              <w:left w:val="nil"/>
              <w:bottom w:val="single" w:sz="4" w:space="0" w:color="auto"/>
              <w:right w:val="single" w:sz="4" w:space="0" w:color="auto"/>
            </w:tcBorders>
            <w:noWrap/>
            <w:vAlign w:val="center"/>
            <w:hideMark/>
          </w:tcPr>
          <w:p w14:paraId="7AF09F5F" w14:textId="77777777" w:rsidR="00D76C2B" w:rsidRPr="009A7CD7" w:rsidRDefault="00D76C2B" w:rsidP="000510A2">
            <w:pPr>
              <w:jc w:val="center"/>
              <w:rPr>
                <w:color w:val="000000"/>
                <w:sz w:val="22"/>
                <w:szCs w:val="22"/>
              </w:rPr>
            </w:pPr>
            <w:r w:rsidRPr="009A7CD7">
              <w:rPr>
                <w:color w:val="000000"/>
                <w:sz w:val="22"/>
                <w:szCs w:val="22"/>
              </w:rPr>
              <w:t>2.880.000</w:t>
            </w:r>
          </w:p>
        </w:tc>
      </w:tr>
      <w:tr w:rsidR="00D76C2B" w:rsidRPr="009A7CD7" w14:paraId="4F22CE6D" w14:textId="77777777" w:rsidTr="000142C9">
        <w:trPr>
          <w:trHeight w:val="310"/>
        </w:trPr>
        <w:tc>
          <w:tcPr>
            <w:tcW w:w="2405" w:type="dxa"/>
            <w:tcBorders>
              <w:top w:val="nil"/>
              <w:left w:val="single" w:sz="4" w:space="0" w:color="auto"/>
              <w:bottom w:val="single" w:sz="4" w:space="0" w:color="auto"/>
              <w:right w:val="single" w:sz="4" w:space="0" w:color="auto"/>
            </w:tcBorders>
            <w:noWrap/>
            <w:vAlign w:val="bottom"/>
            <w:hideMark/>
          </w:tcPr>
          <w:p w14:paraId="48904BE8" w14:textId="77777777" w:rsidR="00D76C2B" w:rsidRPr="009A7CD7" w:rsidRDefault="00D76C2B" w:rsidP="00D76C2B">
            <w:pPr>
              <w:rPr>
                <w:color w:val="000000"/>
                <w:sz w:val="22"/>
                <w:szCs w:val="22"/>
              </w:rPr>
            </w:pPr>
            <w:r w:rsidRPr="009A7CD7">
              <w:rPr>
                <w:color w:val="000000"/>
                <w:sz w:val="22"/>
                <w:szCs w:val="22"/>
              </w:rPr>
              <w:t>Puglia</w:t>
            </w:r>
          </w:p>
        </w:tc>
        <w:tc>
          <w:tcPr>
            <w:tcW w:w="2295" w:type="dxa"/>
            <w:tcBorders>
              <w:top w:val="nil"/>
              <w:left w:val="nil"/>
              <w:bottom w:val="single" w:sz="4" w:space="0" w:color="auto"/>
              <w:right w:val="single" w:sz="4" w:space="0" w:color="auto"/>
            </w:tcBorders>
            <w:noWrap/>
            <w:vAlign w:val="center"/>
            <w:hideMark/>
          </w:tcPr>
          <w:p w14:paraId="62BCCE95" w14:textId="77777777" w:rsidR="00D76C2B" w:rsidRPr="009A7CD7" w:rsidRDefault="00D76C2B" w:rsidP="00D76C2B">
            <w:pPr>
              <w:jc w:val="center"/>
              <w:rPr>
                <w:color w:val="000000"/>
                <w:sz w:val="22"/>
                <w:szCs w:val="22"/>
              </w:rPr>
            </w:pPr>
            <w:r w:rsidRPr="009A7CD7">
              <w:rPr>
                <w:color w:val="000000"/>
                <w:sz w:val="22"/>
                <w:szCs w:val="22"/>
              </w:rPr>
              <w:t>96</w:t>
            </w:r>
          </w:p>
        </w:tc>
        <w:tc>
          <w:tcPr>
            <w:tcW w:w="4934" w:type="dxa"/>
            <w:tcBorders>
              <w:top w:val="nil"/>
              <w:left w:val="nil"/>
              <w:bottom w:val="single" w:sz="4" w:space="0" w:color="auto"/>
              <w:right w:val="single" w:sz="4" w:space="0" w:color="auto"/>
            </w:tcBorders>
            <w:noWrap/>
            <w:vAlign w:val="center"/>
            <w:hideMark/>
          </w:tcPr>
          <w:p w14:paraId="004E1907" w14:textId="77777777" w:rsidR="00D76C2B" w:rsidRPr="009A7CD7" w:rsidRDefault="00D76C2B" w:rsidP="000510A2">
            <w:pPr>
              <w:jc w:val="center"/>
              <w:rPr>
                <w:color w:val="000000"/>
                <w:sz w:val="22"/>
                <w:szCs w:val="22"/>
              </w:rPr>
            </w:pPr>
            <w:r w:rsidRPr="009A7CD7">
              <w:rPr>
                <w:color w:val="000000"/>
                <w:sz w:val="22"/>
                <w:szCs w:val="22"/>
              </w:rPr>
              <w:t>3.840.000</w:t>
            </w:r>
          </w:p>
        </w:tc>
      </w:tr>
      <w:tr w:rsidR="00D76C2B" w:rsidRPr="009A7CD7" w14:paraId="481E9D51" w14:textId="77777777" w:rsidTr="000142C9">
        <w:trPr>
          <w:trHeight w:val="310"/>
        </w:trPr>
        <w:tc>
          <w:tcPr>
            <w:tcW w:w="2405" w:type="dxa"/>
            <w:tcBorders>
              <w:top w:val="nil"/>
              <w:left w:val="single" w:sz="4" w:space="0" w:color="auto"/>
              <w:bottom w:val="single" w:sz="4" w:space="0" w:color="auto"/>
              <w:right w:val="single" w:sz="4" w:space="0" w:color="auto"/>
            </w:tcBorders>
            <w:noWrap/>
            <w:vAlign w:val="bottom"/>
            <w:hideMark/>
          </w:tcPr>
          <w:p w14:paraId="0555FDE0" w14:textId="77777777" w:rsidR="00D76C2B" w:rsidRPr="009A7CD7" w:rsidRDefault="00D76C2B" w:rsidP="00D76C2B">
            <w:pPr>
              <w:rPr>
                <w:color w:val="000000"/>
                <w:sz w:val="22"/>
                <w:szCs w:val="22"/>
              </w:rPr>
            </w:pPr>
            <w:r w:rsidRPr="009A7CD7">
              <w:rPr>
                <w:color w:val="000000"/>
                <w:sz w:val="22"/>
                <w:szCs w:val="22"/>
              </w:rPr>
              <w:t>Sardegna</w:t>
            </w:r>
          </w:p>
        </w:tc>
        <w:tc>
          <w:tcPr>
            <w:tcW w:w="2295" w:type="dxa"/>
            <w:tcBorders>
              <w:top w:val="nil"/>
              <w:left w:val="nil"/>
              <w:bottom w:val="single" w:sz="4" w:space="0" w:color="auto"/>
              <w:right w:val="single" w:sz="4" w:space="0" w:color="auto"/>
            </w:tcBorders>
            <w:noWrap/>
            <w:vAlign w:val="center"/>
            <w:hideMark/>
          </w:tcPr>
          <w:p w14:paraId="4EF926CF" w14:textId="77777777" w:rsidR="00D76C2B" w:rsidRPr="009A7CD7" w:rsidRDefault="00D76C2B" w:rsidP="00D76C2B">
            <w:pPr>
              <w:jc w:val="center"/>
              <w:rPr>
                <w:color w:val="000000"/>
                <w:sz w:val="22"/>
                <w:szCs w:val="22"/>
              </w:rPr>
            </w:pPr>
            <w:r w:rsidRPr="009A7CD7">
              <w:rPr>
                <w:color w:val="000000"/>
                <w:sz w:val="22"/>
                <w:szCs w:val="22"/>
              </w:rPr>
              <w:t>53</w:t>
            </w:r>
          </w:p>
        </w:tc>
        <w:tc>
          <w:tcPr>
            <w:tcW w:w="4934" w:type="dxa"/>
            <w:tcBorders>
              <w:top w:val="nil"/>
              <w:left w:val="nil"/>
              <w:bottom w:val="single" w:sz="4" w:space="0" w:color="auto"/>
              <w:right w:val="single" w:sz="4" w:space="0" w:color="auto"/>
            </w:tcBorders>
            <w:noWrap/>
            <w:vAlign w:val="center"/>
            <w:hideMark/>
          </w:tcPr>
          <w:p w14:paraId="4752A206" w14:textId="77777777" w:rsidR="00D76C2B" w:rsidRPr="009A7CD7" w:rsidRDefault="00D76C2B" w:rsidP="000510A2">
            <w:pPr>
              <w:jc w:val="center"/>
              <w:rPr>
                <w:color w:val="000000"/>
                <w:sz w:val="22"/>
                <w:szCs w:val="22"/>
              </w:rPr>
            </w:pPr>
            <w:r w:rsidRPr="009A7CD7">
              <w:rPr>
                <w:color w:val="000000"/>
                <w:sz w:val="22"/>
                <w:szCs w:val="22"/>
              </w:rPr>
              <w:t>2.120.000</w:t>
            </w:r>
          </w:p>
        </w:tc>
      </w:tr>
      <w:tr w:rsidR="00D76C2B" w:rsidRPr="009A7CD7" w14:paraId="300D1404" w14:textId="77777777" w:rsidTr="000142C9">
        <w:trPr>
          <w:trHeight w:val="310"/>
        </w:trPr>
        <w:tc>
          <w:tcPr>
            <w:tcW w:w="2405" w:type="dxa"/>
            <w:tcBorders>
              <w:top w:val="nil"/>
              <w:left w:val="single" w:sz="4" w:space="0" w:color="auto"/>
              <w:bottom w:val="single" w:sz="4" w:space="0" w:color="auto"/>
              <w:right w:val="single" w:sz="4" w:space="0" w:color="auto"/>
            </w:tcBorders>
            <w:noWrap/>
            <w:vAlign w:val="bottom"/>
            <w:hideMark/>
          </w:tcPr>
          <w:p w14:paraId="5985FDCC" w14:textId="77777777" w:rsidR="00D76C2B" w:rsidRPr="009A7CD7" w:rsidRDefault="00D76C2B" w:rsidP="00D76C2B">
            <w:pPr>
              <w:rPr>
                <w:color w:val="000000"/>
                <w:sz w:val="22"/>
                <w:szCs w:val="22"/>
              </w:rPr>
            </w:pPr>
            <w:r w:rsidRPr="009A7CD7">
              <w:rPr>
                <w:color w:val="000000"/>
                <w:sz w:val="22"/>
                <w:szCs w:val="22"/>
              </w:rPr>
              <w:t>Sicilia</w:t>
            </w:r>
          </w:p>
        </w:tc>
        <w:tc>
          <w:tcPr>
            <w:tcW w:w="2295" w:type="dxa"/>
            <w:tcBorders>
              <w:top w:val="nil"/>
              <w:left w:val="nil"/>
              <w:bottom w:val="single" w:sz="4" w:space="0" w:color="auto"/>
              <w:right w:val="single" w:sz="4" w:space="0" w:color="auto"/>
            </w:tcBorders>
            <w:noWrap/>
            <w:vAlign w:val="center"/>
            <w:hideMark/>
          </w:tcPr>
          <w:p w14:paraId="04665EFE" w14:textId="77777777" w:rsidR="00D76C2B" w:rsidRPr="009A7CD7" w:rsidRDefault="00D76C2B" w:rsidP="00D76C2B">
            <w:pPr>
              <w:jc w:val="center"/>
              <w:rPr>
                <w:color w:val="000000"/>
                <w:sz w:val="22"/>
                <w:szCs w:val="22"/>
              </w:rPr>
            </w:pPr>
            <w:r w:rsidRPr="009A7CD7">
              <w:rPr>
                <w:color w:val="000000"/>
                <w:sz w:val="22"/>
                <w:szCs w:val="22"/>
              </w:rPr>
              <w:t>118</w:t>
            </w:r>
          </w:p>
        </w:tc>
        <w:tc>
          <w:tcPr>
            <w:tcW w:w="4934" w:type="dxa"/>
            <w:tcBorders>
              <w:top w:val="nil"/>
              <w:left w:val="nil"/>
              <w:bottom w:val="single" w:sz="4" w:space="0" w:color="auto"/>
              <w:right w:val="single" w:sz="4" w:space="0" w:color="auto"/>
            </w:tcBorders>
            <w:noWrap/>
            <w:vAlign w:val="center"/>
            <w:hideMark/>
          </w:tcPr>
          <w:p w14:paraId="6656EE9E" w14:textId="77777777" w:rsidR="00D76C2B" w:rsidRPr="009A7CD7" w:rsidRDefault="00D76C2B" w:rsidP="000510A2">
            <w:pPr>
              <w:jc w:val="center"/>
              <w:rPr>
                <w:color w:val="000000"/>
                <w:sz w:val="22"/>
                <w:szCs w:val="22"/>
              </w:rPr>
            </w:pPr>
            <w:r w:rsidRPr="009A7CD7">
              <w:rPr>
                <w:color w:val="000000"/>
                <w:sz w:val="22"/>
                <w:szCs w:val="22"/>
              </w:rPr>
              <w:t>4.720.000</w:t>
            </w:r>
          </w:p>
        </w:tc>
      </w:tr>
      <w:tr w:rsidR="00D76C2B" w:rsidRPr="009A7CD7" w14:paraId="71F26422" w14:textId="77777777" w:rsidTr="000142C9">
        <w:trPr>
          <w:trHeight w:val="310"/>
        </w:trPr>
        <w:tc>
          <w:tcPr>
            <w:tcW w:w="2405" w:type="dxa"/>
            <w:tcBorders>
              <w:top w:val="nil"/>
              <w:left w:val="single" w:sz="4" w:space="0" w:color="auto"/>
              <w:bottom w:val="single" w:sz="4" w:space="0" w:color="auto"/>
              <w:right w:val="single" w:sz="4" w:space="0" w:color="auto"/>
            </w:tcBorders>
            <w:noWrap/>
            <w:vAlign w:val="bottom"/>
            <w:hideMark/>
          </w:tcPr>
          <w:p w14:paraId="00C5B785" w14:textId="77777777" w:rsidR="00D76C2B" w:rsidRPr="009A7CD7" w:rsidRDefault="00D76C2B" w:rsidP="00D76C2B">
            <w:pPr>
              <w:rPr>
                <w:color w:val="000000"/>
                <w:sz w:val="22"/>
                <w:szCs w:val="22"/>
              </w:rPr>
            </w:pPr>
            <w:r w:rsidRPr="009A7CD7">
              <w:rPr>
                <w:color w:val="000000"/>
                <w:sz w:val="22"/>
                <w:szCs w:val="22"/>
              </w:rPr>
              <w:t>Toscana</w:t>
            </w:r>
          </w:p>
        </w:tc>
        <w:tc>
          <w:tcPr>
            <w:tcW w:w="2295" w:type="dxa"/>
            <w:tcBorders>
              <w:top w:val="nil"/>
              <w:left w:val="nil"/>
              <w:bottom w:val="single" w:sz="4" w:space="0" w:color="auto"/>
              <w:right w:val="single" w:sz="4" w:space="0" w:color="auto"/>
            </w:tcBorders>
            <w:noWrap/>
            <w:vAlign w:val="center"/>
            <w:hideMark/>
          </w:tcPr>
          <w:p w14:paraId="3C1E2988" w14:textId="77777777" w:rsidR="00D76C2B" w:rsidRPr="009A7CD7" w:rsidRDefault="00D76C2B" w:rsidP="00D76C2B">
            <w:pPr>
              <w:jc w:val="center"/>
              <w:rPr>
                <w:color w:val="000000"/>
                <w:sz w:val="22"/>
                <w:szCs w:val="22"/>
              </w:rPr>
            </w:pPr>
            <w:r w:rsidRPr="009A7CD7">
              <w:rPr>
                <w:color w:val="000000"/>
                <w:sz w:val="22"/>
                <w:szCs w:val="22"/>
              </w:rPr>
              <w:t>63</w:t>
            </w:r>
          </w:p>
        </w:tc>
        <w:tc>
          <w:tcPr>
            <w:tcW w:w="4934" w:type="dxa"/>
            <w:tcBorders>
              <w:top w:val="nil"/>
              <w:left w:val="nil"/>
              <w:bottom w:val="single" w:sz="4" w:space="0" w:color="auto"/>
              <w:right w:val="single" w:sz="4" w:space="0" w:color="auto"/>
            </w:tcBorders>
            <w:noWrap/>
            <w:vAlign w:val="center"/>
            <w:hideMark/>
          </w:tcPr>
          <w:p w14:paraId="6C2C136E" w14:textId="77777777" w:rsidR="00D76C2B" w:rsidRPr="009A7CD7" w:rsidRDefault="00D76C2B" w:rsidP="000510A2">
            <w:pPr>
              <w:jc w:val="center"/>
              <w:rPr>
                <w:color w:val="000000"/>
                <w:sz w:val="22"/>
                <w:szCs w:val="22"/>
              </w:rPr>
            </w:pPr>
            <w:r w:rsidRPr="009A7CD7">
              <w:rPr>
                <w:color w:val="000000"/>
                <w:sz w:val="22"/>
                <w:szCs w:val="22"/>
              </w:rPr>
              <w:t>2.520.000</w:t>
            </w:r>
          </w:p>
        </w:tc>
      </w:tr>
      <w:tr w:rsidR="00D76C2B" w:rsidRPr="009A7CD7" w14:paraId="5BD1638B" w14:textId="77777777" w:rsidTr="000142C9">
        <w:trPr>
          <w:trHeight w:val="310"/>
        </w:trPr>
        <w:tc>
          <w:tcPr>
            <w:tcW w:w="2405" w:type="dxa"/>
            <w:tcBorders>
              <w:top w:val="nil"/>
              <w:left w:val="single" w:sz="4" w:space="0" w:color="auto"/>
              <w:bottom w:val="single" w:sz="4" w:space="0" w:color="auto"/>
              <w:right w:val="single" w:sz="4" w:space="0" w:color="auto"/>
            </w:tcBorders>
            <w:noWrap/>
            <w:vAlign w:val="bottom"/>
            <w:hideMark/>
          </w:tcPr>
          <w:p w14:paraId="7AF8723F" w14:textId="77777777" w:rsidR="00D76C2B" w:rsidRPr="009A7CD7" w:rsidRDefault="00D76C2B" w:rsidP="00D76C2B">
            <w:pPr>
              <w:rPr>
                <w:color w:val="000000"/>
                <w:sz w:val="22"/>
                <w:szCs w:val="22"/>
              </w:rPr>
            </w:pPr>
            <w:r w:rsidRPr="009A7CD7">
              <w:rPr>
                <w:color w:val="000000"/>
                <w:sz w:val="22"/>
                <w:szCs w:val="22"/>
              </w:rPr>
              <w:t>Umbria</w:t>
            </w:r>
          </w:p>
        </w:tc>
        <w:tc>
          <w:tcPr>
            <w:tcW w:w="2295" w:type="dxa"/>
            <w:tcBorders>
              <w:top w:val="nil"/>
              <w:left w:val="nil"/>
              <w:bottom w:val="single" w:sz="4" w:space="0" w:color="auto"/>
              <w:right w:val="single" w:sz="4" w:space="0" w:color="auto"/>
            </w:tcBorders>
            <w:noWrap/>
            <w:vAlign w:val="center"/>
            <w:hideMark/>
          </w:tcPr>
          <w:p w14:paraId="2843CB81" w14:textId="77777777" w:rsidR="00D76C2B" w:rsidRPr="009A7CD7" w:rsidRDefault="00D76C2B" w:rsidP="00D76C2B">
            <w:pPr>
              <w:jc w:val="center"/>
              <w:rPr>
                <w:color w:val="000000"/>
                <w:sz w:val="22"/>
                <w:szCs w:val="22"/>
              </w:rPr>
            </w:pPr>
            <w:r w:rsidRPr="009A7CD7">
              <w:rPr>
                <w:color w:val="000000"/>
                <w:sz w:val="22"/>
                <w:szCs w:val="22"/>
              </w:rPr>
              <w:t>26</w:t>
            </w:r>
          </w:p>
        </w:tc>
        <w:tc>
          <w:tcPr>
            <w:tcW w:w="4934" w:type="dxa"/>
            <w:tcBorders>
              <w:top w:val="nil"/>
              <w:left w:val="nil"/>
              <w:bottom w:val="single" w:sz="4" w:space="0" w:color="auto"/>
              <w:right w:val="single" w:sz="4" w:space="0" w:color="auto"/>
            </w:tcBorders>
            <w:noWrap/>
            <w:vAlign w:val="center"/>
            <w:hideMark/>
          </w:tcPr>
          <w:p w14:paraId="4BE2EE00" w14:textId="77777777" w:rsidR="00D76C2B" w:rsidRPr="009A7CD7" w:rsidRDefault="00D76C2B" w:rsidP="000510A2">
            <w:pPr>
              <w:jc w:val="center"/>
              <w:rPr>
                <w:color w:val="000000"/>
                <w:sz w:val="22"/>
                <w:szCs w:val="22"/>
              </w:rPr>
            </w:pPr>
            <w:r w:rsidRPr="009A7CD7">
              <w:rPr>
                <w:color w:val="000000"/>
                <w:sz w:val="22"/>
                <w:szCs w:val="22"/>
              </w:rPr>
              <w:t>1.040.000</w:t>
            </w:r>
          </w:p>
        </w:tc>
      </w:tr>
      <w:tr w:rsidR="00D76C2B" w:rsidRPr="009A7CD7" w14:paraId="2AF34046" w14:textId="77777777" w:rsidTr="000142C9">
        <w:trPr>
          <w:trHeight w:val="310"/>
        </w:trPr>
        <w:tc>
          <w:tcPr>
            <w:tcW w:w="2405" w:type="dxa"/>
            <w:tcBorders>
              <w:top w:val="nil"/>
              <w:left w:val="single" w:sz="4" w:space="0" w:color="auto"/>
              <w:bottom w:val="single" w:sz="4" w:space="0" w:color="auto"/>
              <w:right w:val="single" w:sz="4" w:space="0" w:color="auto"/>
            </w:tcBorders>
            <w:noWrap/>
            <w:vAlign w:val="bottom"/>
            <w:hideMark/>
          </w:tcPr>
          <w:p w14:paraId="0AE4BAC5" w14:textId="3CA02CF1" w:rsidR="00D76C2B" w:rsidRPr="009A7CD7" w:rsidRDefault="00D76C2B" w:rsidP="00D76C2B">
            <w:pPr>
              <w:rPr>
                <w:color w:val="000000"/>
                <w:sz w:val="22"/>
                <w:szCs w:val="22"/>
              </w:rPr>
            </w:pPr>
            <w:r w:rsidRPr="009A7CD7">
              <w:rPr>
                <w:color w:val="000000"/>
                <w:sz w:val="22"/>
                <w:szCs w:val="22"/>
              </w:rPr>
              <w:t>Valle d</w:t>
            </w:r>
            <w:r w:rsidR="00AA49D1" w:rsidRPr="009A7CD7">
              <w:rPr>
                <w:color w:val="000000"/>
                <w:sz w:val="22"/>
                <w:szCs w:val="22"/>
              </w:rPr>
              <w:t>’</w:t>
            </w:r>
            <w:r w:rsidRPr="009A7CD7">
              <w:rPr>
                <w:color w:val="000000"/>
                <w:sz w:val="22"/>
                <w:szCs w:val="22"/>
              </w:rPr>
              <w:t>Aosta</w:t>
            </w:r>
          </w:p>
        </w:tc>
        <w:tc>
          <w:tcPr>
            <w:tcW w:w="2295" w:type="dxa"/>
            <w:tcBorders>
              <w:top w:val="nil"/>
              <w:left w:val="nil"/>
              <w:bottom w:val="single" w:sz="4" w:space="0" w:color="auto"/>
              <w:right w:val="single" w:sz="4" w:space="0" w:color="auto"/>
            </w:tcBorders>
            <w:noWrap/>
            <w:vAlign w:val="center"/>
            <w:hideMark/>
          </w:tcPr>
          <w:p w14:paraId="03DDC0EE" w14:textId="77777777" w:rsidR="00D76C2B" w:rsidRPr="009A7CD7" w:rsidRDefault="00D76C2B" w:rsidP="00D76C2B">
            <w:pPr>
              <w:jc w:val="center"/>
              <w:rPr>
                <w:color w:val="000000"/>
                <w:sz w:val="22"/>
                <w:szCs w:val="22"/>
              </w:rPr>
            </w:pPr>
            <w:r w:rsidRPr="009A7CD7">
              <w:rPr>
                <w:color w:val="000000"/>
                <w:sz w:val="22"/>
                <w:szCs w:val="22"/>
              </w:rPr>
              <w:t>2</w:t>
            </w:r>
          </w:p>
        </w:tc>
        <w:tc>
          <w:tcPr>
            <w:tcW w:w="4934" w:type="dxa"/>
            <w:tcBorders>
              <w:top w:val="nil"/>
              <w:left w:val="nil"/>
              <w:bottom w:val="single" w:sz="4" w:space="0" w:color="auto"/>
              <w:right w:val="single" w:sz="4" w:space="0" w:color="auto"/>
            </w:tcBorders>
            <w:noWrap/>
            <w:vAlign w:val="center"/>
            <w:hideMark/>
          </w:tcPr>
          <w:p w14:paraId="6D3F2820" w14:textId="77777777" w:rsidR="00D76C2B" w:rsidRPr="009A7CD7" w:rsidRDefault="00D76C2B" w:rsidP="000510A2">
            <w:pPr>
              <w:jc w:val="center"/>
              <w:rPr>
                <w:color w:val="000000"/>
                <w:sz w:val="22"/>
                <w:szCs w:val="22"/>
              </w:rPr>
            </w:pPr>
            <w:r w:rsidRPr="009A7CD7">
              <w:rPr>
                <w:color w:val="000000"/>
                <w:sz w:val="22"/>
                <w:szCs w:val="22"/>
              </w:rPr>
              <w:t>80.000</w:t>
            </w:r>
          </w:p>
        </w:tc>
      </w:tr>
      <w:tr w:rsidR="00D76C2B" w:rsidRPr="009A7CD7" w14:paraId="20D317F3" w14:textId="77777777" w:rsidTr="000142C9">
        <w:trPr>
          <w:trHeight w:val="310"/>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50F57F97" w14:textId="77777777" w:rsidR="00D76C2B" w:rsidRPr="009A7CD7" w:rsidRDefault="00D76C2B" w:rsidP="00D76C2B">
            <w:pPr>
              <w:rPr>
                <w:color w:val="000000"/>
                <w:sz w:val="22"/>
                <w:szCs w:val="22"/>
              </w:rPr>
            </w:pPr>
            <w:r w:rsidRPr="009A7CD7">
              <w:rPr>
                <w:color w:val="000000"/>
                <w:sz w:val="22"/>
                <w:szCs w:val="22"/>
              </w:rPr>
              <w:t>Veneto</w:t>
            </w:r>
          </w:p>
        </w:tc>
        <w:tc>
          <w:tcPr>
            <w:tcW w:w="2295" w:type="dxa"/>
            <w:tcBorders>
              <w:top w:val="single" w:sz="4" w:space="0" w:color="auto"/>
              <w:left w:val="nil"/>
              <w:bottom w:val="single" w:sz="4" w:space="0" w:color="auto"/>
              <w:right w:val="single" w:sz="4" w:space="0" w:color="auto"/>
            </w:tcBorders>
            <w:noWrap/>
            <w:vAlign w:val="center"/>
            <w:hideMark/>
          </w:tcPr>
          <w:p w14:paraId="752CAC9A" w14:textId="77777777" w:rsidR="00D76C2B" w:rsidRPr="009A7CD7" w:rsidRDefault="00D76C2B" w:rsidP="00D76C2B">
            <w:pPr>
              <w:jc w:val="center"/>
              <w:rPr>
                <w:color w:val="000000"/>
                <w:sz w:val="22"/>
                <w:szCs w:val="22"/>
              </w:rPr>
            </w:pPr>
            <w:r w:rsidRPr="009A7CD7">
              <w:rPr>
                <w:color w:val="000000"/>
                <w:sz w:val="22"/>
                <w:szCs w:val="22"/>
              </w:rPr>
              <w:t>50</w:t>
            </w:r>
          </w:p>
        </w:tc>
        <w:tc>
          <w:tcPr>
            <w:tcW w:w="4934" w:type="dxa"/>
            <w:tcBorders>
              <w:top w:val="single" w:sz="4" w:space="0" w:color="auto"/>
              <w:left w:val="nil"/>
              <w:bottom w:val="single" w:sz="4" w:space="0" w:color="auto"/>
              <w:right w:val="single" w:sz="4" w:space="0" w:color="auto"/>
            </w:tcBorders>
            <w:noWrap/>
            <w:vAlign w:val="center"/>
            <w:hideMark/>
          </w:tcPr>
          <w:p w14:paraId="4DE68D99" w14:textId="77777777" w:rsidR="00D76C2B" w:rsidRPr="009A7CD7" w:rsidRDefault="00D76C2B" w:rsidP="000510A2">
            <w:pPr>
              <w:jc w:val="center"/>
              <w:rPr>
                <w:color w:val="000000"/>
                <w:sz w:val="22"/>
                <w:szCs w:val="22"/>
              </w:rPr>
            </w:pPr>
            <w:r w:rsidRPr="009A7CD7">
              <w:rPr>
                <w:color w:val="000000"/>
                <w:sz w:val="22"/>
                <w:szCs w:val="22"/>
              </w:rPr>
              <w:t>2.000.000</w:t>
            </w:r>
          </w:p>
        </w:tc>
      </w:tr>
      <w:tr w:rsidR="009318AC" w:rsidRPr="009A7CD7" w14:paraId="69C381F1" w14:textId="77777777" w:rsidTr="000142C9">
        <w:trPr>
          <w:trHeight w:val="310"/>
        </w:trPr>
        <w:tc>
          <w:tcPr>
            <w:tcW w:w="2405" w:type="dxa"/>
            <w:tcBorders>
              <w:top w:val="single" w:sz="4" w:space="0" w:color="auto"/>
              <w:left w:val="single" w:sz="4" w:space="0" w:color="auto"/>
              <w:bottom w:val="single" w:sz="4" w:space="0" w:color="auto"/>
              <w:right w:val="single" w:sz="4" w:space="0" w:color="auto"/>
            </w:tcBorders>
            <w:noWrap/>
            <w:vAlign w:val="bottom"/>
          </w:tcPr>
          <w:p w14:paraId="4806CE47" w14:textId="61DEDEEC" w:rsidR="009318AC" w:rsidRPr="009A7CD7" w:rsidRDefault="009318AC" w:rsidP="00F52C71">
            <w:pPr>
              <w:jc w:val="center"/>
              <w:rPr>
                <w:color w:val="000000"/>
                <w:sz w:val="22"/>
                <w:szCs w:val="22"/>
              </w:rPr>
            </w:pPr>
            <w:r w:rsidRPr="009A7CD7">
              <w:rPr>
                <w:b/>
                <w:bCs/>
                <w:color w:val="000000"/>
                <w:sz w:val="22"/>
                <w:szCs w:val="22"/>
              </w:rPr>
              <w:t>Totale</w:t>
            </w:r>
          </w:p>
        </w:tc>
        <w:tc>
          <w:tcPr>
            <w:tcW w:w="2295" w:type="dxa"/>
            <w:tcBorders>
              <w:top w:val="single" w:sz="4" w:space="0" w:color="auto"/>
              <w:left w:val="nil"/>
              <w:bottom w:val="single" w:sz="4" w:space="0" w:color="auto"/>
              <w:right w:val="single" w:sz="4" w:space="0" w:color="auto"/>
            </w:tcBorders>
            <w:noWrap/>
            <w:vAlign w:val="center"/>
          </w:tcPr>
          <w:p w14:paraId="48245308" w14:textId="3E1AF6F9" w:rsidR="009318AC" w:rsidRPr="009A7CD7" w:rsidRDefault="009318AC" w:rsidP="009318AC">
            <w:pPr>
              <w:jc w:val="center"/>
              <w:rPr>
                <w:color w:val="000000"/>
                <w:sz w:val="22"/>
                <w:szCs w:val="22"/>
              </w:rPr>
            </w:pPr>
            <w:r w:rsidRPr="009A7CD7">
              <w:rPr>
                <w:b/>
                <w:bCs/>
                <w:color w:val="000000"/>
                <w:sz w:val="22"/>
                <w:szCs w:val="22"/>
              </w:rPr>
              <w:t>1.250</w:t>
            </w:r>
          </w:p>
        </w:tc>
        <w:tc>
          <w:tcPr>
            <w:tcW w:w="4934" w:type="dxa"/>
            <w:tcBorders>
              <w:top w:val="single" w:sz="4" w:space="0" w:color="auto"/>
              <w:left w:val="nil"/>
              <w:bottom w:val="single" w:sz="4" w:space="0" w:color="auto"/>
              <w:right w:val="single" w:sz="4" w:space="0" w:color="auto"/>
            </w:tcBorders>
            <w:noWrap/>
            <w:vAlign w:val="center"/>
          </w:tcPr>
          <w:p w14:paraId="3492408F" w14:textId="2B81963C" w:rsidR="009318AC" w:rsidRPr="009A7CD7" w:rsidRDefault="009318AC" w:rsidP="009318AC">
            <w:pPr>
              <w:jc w:val="center"/>
              <w:rPr>
                <w:color w:val="000000"/>
                <w:sz w:val="22"/>
                <w:szCs w:val="22"/>
              </w:rPr>
            </w:pPr>
            <w:r w:rsidRPr="009A7CD7">
              <w:rPr>
                <w:b/>
                <w:bCs/>
                <w:color w:val="000000"/>
                <w:sz w:val="22"/>
                <w:szCs w:val="22"/>
              </w:rPr>
              <w:t>50.000.000</w:t>
            </w:r>
          </w:p>
        </w:tc>
      </w:tr>
    </w:tbl>
    <w:p w14:paraId="02BBC371" w14:textId="77777777" w:rsidR="00D76C2B" w:rsidRPr="009A7CD7" w:rsidRDefault="00D76C2B" w:rsidP="00C26501">
      <w:pPr>
        <w:tabs>
          <w:tab w:val="left" w:pos="680"/>
        </w:tabs>
        <w:ind w:right="106"/>
        <w:rPr>
          <w:rFonts w:eastAsia="Calibri"/>
          <w:b/>
          <w:bCs/>
          <w:shd w:val="clear" w:color="auto" w:fill="FFFFFF"/>
        </w:rPr>
      </w:pPr>
    </w:p>
    <w:p w14:paraId="056D9A57" w14:textId="77777777" w:rsidR="00726356" w:rsidRPr="009A7CD7" w:rsidRDefault="00726356" w:rsidP="00C26501">
      <w:pPr>
        <w:tabs>
          <w:tab w:val="left" w:pos="680"/>
        </w:tabs>
        <w:ind w:right="106"/>
        <w:rPr>
          <w:rFonts w:eastAsia="Calibri"/>
          <w:b/>
          <w:bCs/>
          <w:shd w:val="clear" w:color="auto" w:fill="FFFFFF"/>
        </w:rPr>
      </w:pPr>
    </w:p>
    <w:p w14:paraId="5B81EFEB" w14:textId="4AED4C94" w:rsidR="00726356" w:rsidRPr="00726356" w:rsidRDefault="00726356" w:rsidP="00726356">
      <w:pPr>
        <w:tabs>
          <w:tab w:val="left" w:pos="680"/>
        </w:tabs>
        <w:ind w:right="106"/>
        <w:jc w:val="center"/>
        <w:rPr>
          <w:rFonts w:eastAsia="Calibri"/>
          <w:b/>
          <w:bCs/>
          <w:sz w:val="28"/>
          <w:szCs w:val="28"/>
          <w:shd w:val="clear" w:color="auto" w:fill="FFFFFF"/>
        </w:rPr>
      </w:pPr>
      <w:r w:rsidRPr="009A7CD7">
        <w:rPr>
          <w:rFonts w:eastAsia="Calibri"/>
          <w:b/>
          <w:bCs/>
          <w:sz w:val="28"/>
          <w:szCs w:val="28"/>
          <w:shd w:val="clear" w:color="auto" w:fill="FFFFFF"/>
        </w:rPr>
        <w:t>* * * * *</w:t>
      </w:r>
      <w:r>
        <w:rPr>
          <w:rFonts w:eastAsia="Calibri"/>
          <w:b/>
          <w:bCs/>
          <w:sz w:val="28"/>
          <w:szCs w:val="28"/>
          <w:shd w:val="clear" w:color="auto" w:fill="FFFFFF"/>
        </w:rPr>
        <w:t xml:space="preserve"> </w:t>
      </w:r>
    </w:p>
    <w:sectPr w:rsidR="00726356" w:rsidRPr="00726356" w:rsidSect="00F70E61">
      <w:headerReference w:type="default" r:id="rId14"/>
      <w:footerReference w:type="default" r:id="rId15"/>
      <w:pgSz w:w="11906" w:h="16838"/>
      <w:pgMar w:top="1418" w:right="1134" w:bottom="1134" w:left="1134"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06750" w14:textId="77777777" w:rsidR="00C76218" w:rsidRDefault="00C76218">
      <w:r>
        <w:separator/>
      </w:r>
    </w:p>
  </w:endnote>
  <w:endnote w:type="continuationSeparator" w:id="0">
    <w:p w14:paraId="348BE473" w14:textId="77777777" w:rsidR="00C76218" w:rsidRDefault="00C76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Kunstler Script">
    <w:panose1 w:val="030304020206070D0D06"/>
    <w:charset w:val="00"/>
    <w:family w:val="script"/>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9668" w14:textId="0B19278B" w:rsidR="00744D9A" w:rsidRDefault="00744D9A">
    <w:pPr>
      <w:pStyle w:val="Pidipagina"/>
      <w:jc w:val="right"/>
    </w:pPr>
  </w:p>
  <w:p w14:paraId="5FA5D844" w14:textId="77777777" w:rsidR="00744D9A" w:rsidRDefault="00744D9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04418" w14:textId="77777777" w:rsidR="00C76218" w:rsidRDefault="00C76218">
      <w:r>
        <w:separator/>
      </w:r>
    </w:p>
  </w:footnote>
  <w:footnote w:type="continuationSeparator" w:id="0">
    <w:p w14:paraId="14120AB5" w14:textId="77777777" w:rsidR="00C76218" w:rsidRDefault="00C76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29FC" w14:textId="77777777" w:rsidR="00744D9A" w:rsidRDefault="00744D9A" w:rsidP="00FF0AD7">
    <w:pPr>
      <w:jc w:val="center"/>
    </w:pPr>
    <w:r>
      <w:rPr>
        <w:noProof/>
      </w:rPr>
      <w:drawing>
        <wp:inline distT="0" distB="0" distL="0" distR="0" wp14:anchorId="7826CDEA" wp14:editId="03B68259">
          <wp:extent cx="542925" cy="61912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19125"/>
                  </a:xfrm>
                  <a:prstGeom prst="rect">
                    <a:avLst/>
                  </a:prstGeom>
                  <a:noFill/>
                  <a:ln>
                    <a:noFill/>
                  </a:ln>
                </pic:spPr>
              </pic:pic>
            </a:graphicData>
          </a:graphic>
        </wp:inline>
      </w:drawing>
    </w:r>
  </w:p>
  <w:p w14:paraId="1AFFCFE1" w14:textId="77777777" w:rsidR="00B22292" w:rsidRPr="00B22292" w:rsidRDefault="00B22292" w:rsidP="007E2DD6">
    <w:pPr>
      <w:pStyle w:val="Corpotesto"/>
      <w:spacing w:before="240" w:after="80"/>
      <w:jc w:val="center"/>
      <w:rPr>
        <w:rFonts w:ascii="Kunstler Script" w:hAnsi="Kunstler Script"/>
        <w:b/>
        <w:sz w:val="48"/>
        <w:szCs w:val="48"/>
      </w:rPr>
    </w:pPr>
    <w:r w:rsidRPr="00B22292">
      <w:rPr>
        <w:rFonts w:ascii="Kunstler Script" w:hAnsi="Kunstler Script"/>
        <w:b/>
        <w:sz w:val="48"/>
        <w:szCs w:val="48"/>
      </w:rPr>
      <w:t>Il Presidente del Consiglio dei Ministri</w:t>
    </w:r>
  </w:p>
  <w:p w14:paraId="62D6A614" w14:textId="28ACE369" w:rsidR="00B22292" w:rsidRDefault="00B22292" w:rsidP="007E2DD6">
    <w:pPr>
      <w:pStyle w:val="Corpotesto"/>
      <w:spacing w:before="120" w:after="80"/>
      <w:jc w:val="center"/>
      <w:rPr>
        <w:rFonts w:ascii="Kunstler Script" w:hAnsi="Kunstler Script"/>
        <w:b/>
        <w:sz w:val="48"/>
        <w:szCs w:val="48"/>
      </w:rPr>
    </w:pPr>
    <w:r w:rsidRPr="00B22292">
      <w:rPr>
        <w:rFonts w:ascii="Kunstler Script" w:hAnsi="Kunstler Script"/>
        <w:b/>
        <w:sz w:val="48"/>
        <w:szCs w:val="48"/>
      </w:rPr>
      <w:t>su proposta</w:t>
    </w:r>
  </w:p>
  <w:p w14:paraId="61DB9B66" w14:textId="77777777" w:rsidR="007F609D" w:rsidRPr="00B22292" w:rsidRDefault="007F609D" w:rsidP="007F609D">
    <w:pPr>
      <w:pStyle w:val="Corpotesto"/>
      <w:spacing w:before="120" w:after="80"/>
      <w:jc w:val="center"/>
      <w:rPr>
        <w:rFonts w:ascii="Kunstler Script" w:hAnsi="Kunstler Script"/>
        <w:b/>
        <w:sz w:val="48"/>
        <w:szCs w:val="48"/>
      </w:rPr>
    </w:pPr>
    <w:r w:rsidRPr="00B22292">
      <w:rPr>
        <w:rFonts w:ascii="Kunstler Script" w:hAnsi="Kunstler Script"/>
        <w:b/>
        <w:sz w:val="48"/>
        <w:szCs w:val="48"/>
      </w:rPr>
      <w:t>del Ministro del Lavoro e delle Politiche Sociali</w:t>
    </w:r>
  </w:p>
  <w:p w14:paraId="0B9D0DBD" w14:textId="75000B5B" w:rsidR="008D7A66" w:rsidRPr="00B22292" w:rsidRDefault="007F609D" w:rsidP="007E2DD6">
    <w:pPr>
      <w:pStyle w:val="Corpotesto"/>
      <w:spacing w:before="120" w:after="80"/>
      <w:jc w:val="center"/>
      <w:rPr>
        <w:rFonts w:ascii="Kunstler Script" w:hAnsi="Kunstler Script"/>
        <w:b/>
        <w:sz w:val="48"/>
        <w:szCs w:val="48"/>
      </w:rPr>
    </w:pPr>
    <w:r>
      <w:rPr>
        <w:rFonts w:ascii="Kunstler Script" w:hAnsi="Kunstler Script"/>
        <w:b/>
        <w:sz w:val="48"/>
        <w:szCs w:val="48"/>
      </w:rPr>
      <w:t xml:space="preserve"> e </w:t>
    </w:r>
    <w:r w:rsidR="008D7A66">
      <w:rPr>
        <w:rFonts w:ascii="Kunstler Script" w:hAnsi="Kunstler Script"/>
        <w:b/>
        <w:sz w:val="48"/>
        <w:szCs w:val="48"/>
      </w:rPr>
      <w:t xml:space="preserve">del Ministro per le disabilità </w:t>
    </w:r>
  </w:p>
  <w:p w14:paraId="3C0FCF94" w14:textId="2353A526" w:rsidR="00B22292" w:rsidRDefault="00B22292" w:rsidP="007E2DD6">
    <w:pPr>
      <w:pStyle w:val="Corpotesto"/>
      <w:spacing w:before="120" w:after="80"/>
      <w:jc w:val="center"/>
      <w:rPr>
        <w:rFonts w:ascii="Kunstler Script" w:hAnsi="Kunstler Script"/>
        <w:b/>
        <w:sz w:val="48"/>
        <w:szCs w:val="48"/>
      </w:rPr>
    </w:pPr>
    <w:r w:rsidRPr="00B22292">
      <w:rPr>
        <w:rFonts w:ascii="Kunstler Script" w:hAnsi="Kunstler Script"/>
        <w:b/>
        <w:sz w:val="48"/>
        <w:szCs w:val="48"/>
      </w:rPr>
      <w:t>di concerto con</w:t>
    </w:r>
  </w:p>
  <w:p w14:paraId="5E879B2B" w14:textId="77777777" w:rsidR="00EB49E1" w:rsidRPr="00B22292" w:rsidRDefault="00EB49E1" w:rsidP="007E2DD6">
    <w:pPr>
      <w:pStyle w:val="Corpotesto"/>
      <w:spacing w:before="120" w:after="80"/>
      <w:jc w:val="center"/>
      <w:rPr>
        <w:sz w:val="48"/>
        <w:szCs w:val="48"/>
      </w:rPr>
    </w:pPr>
    <w:r w:rsidRPr="00B22292">
      <w:rPr>
        <w:rFonts w:ascii="Kunstler Script" w:hAnsi="Kunstler Script"/>
        <w:b/>
        <w:sz w:val="48"/>
        <w:szCs w:val="48"/>
      </w:rPr>
      <w:t xml:space="preserve">il Ministro </w:t>
    </w:r>
    <w:r>
      <w:rPr>
        <w:rFonts w:ascii="Kunstler Script" w:hAnsi="Kunstler Script"/>
        <w:b/>
        <w:sz w:val="48"/>
        <w:szCs w:val="48"/>
      </w:rPr>
      <w:t>della Salute</w:t>
    </w:r>
  </w:p>
  <w:p w14:paraId="459B2FF7" w14:textId="3441791D" w:rsidR="00B22292" w:rsidRPr="00B22292" w:rsidRDefault="00EB49E1" w:rsidP="00B22292">
    <w:pPr>
      <w:pStyle w:val="Corpotesto"/>
      <w:spacing w:after="80"/>
      <w:jc w:val="center"/>
      <w:rPr>
        <w:rFonts w:ascii="Kunstler Script" w:hAnsi="Kunstler Script"/>
        <w:b/>
        <w:sz w:val="48"/>
        <w:szCs w:val="48"/>
      </w:rPr>
    </w:pPr>
    <w:r>
      <w:rPr>
        <w:rFonts w:ascii="Kunstler Script" w:hAnsi="Kunstler Script"/>
        <w:b/>
        <w:sz w:val="48"/>
        <w:szCs w:val="48"/>
      </w:rPr>
      <w:t xml:space="preserve"> e </w:t>
    </w:r>
    <w:r w:rsidR="00B22292" w:rsidRPr="00B22292">
      <w:rPr>
        <w:rFonts w:ascii="Kunstler Script" w:hAnsi="Kunstler Script"/>
        <w:b/>
        <w:sz w:val="48"/>
        <w:szCs w:val="48"/>
      </w:rPr>
      <w:t xml:space="preserve">il Ministro </w:t>
    </w:r>
    <w:r w:rsidR="0021411C" w:rsidRPr="0021411C">
      <w:rPr>
        <w:rFonts w:ascii="Kunstler Script" w:hAnsi="Kunstler Script"/>
        <w:b/>
        <w:sz w:val="48"/>
        <w:szCs w:val="48"/>
      </w:rPr>
      <w:t xml:space="preserve">dell’Economia e delle Finanze </w:t>
    </w:r>
  </w:p>
  <w:p w14:paraId="45DFC735" w14:textId="77777777" w:rsidR="00EB49E1" w:rsidRDefault="00EB49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4D5"/>
    <w:multiLevelType w:val="hybridMultilevel"/>
    <w:tmpl w:val="197ABA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D07894"/>
    <w:multiLevelType w:val="hybridMultilevel"/>
    <w:tmpl w:val="D8223E3A"/>
    <w:lvl w:ilvl="0" w:tplc="0410000F">
      <w:start w:val="1"/>
      <w:numFmt w:val="decimal"/>
      <w:lvlText w:val="%1."/>
      <w:lvlJc w:val="left"/>
      <w:pPr>
        <w:ind w:left="433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B35319"/>
    <w:multiLevelType w:val="hybridMultilevel"/>
    <w:tmpl w:val="789C8A42"/>
    <w:lvl w:ilvl="0" w:tplc="67E2BBCE">
      <w:start w:val="1"/>
      <w:numFmt w:val="decimal"/>
      <w:lvlText w:val="%1."/>
      <w:lvlJc w:val="left"/>
      <w:pPr>
        <w:ind w:left="720" w:hanging="360"/>
      </w:pPr>
      <w:rPr>
        <w:rFonts w:eastAsiaTheme="minorHAnsi"/>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6B95F58"/>
    <w:multiLevelType w:val="multilevel"/>
    <w:tmpl w:val="D926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766D6"/>
    <w:multiLevelType w:val="hybridMultilevel"/>
    <w:tmpl w:val="C692595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F8145EE"/>
    <w:multiLevelType w:val="hybridMultilevel"/>
    <w:tmpl w:val="D8223E3A"/>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5975CD0"/>
    <w:multiLevelType w:val="hybridMultilevel"/>
    <w:tmpl w:val="D8223E3A"/>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64D0066"/>
    <w:multiLevelType w:val="hybridMultilevel"/>
    <w:tmpl w:val="D682C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88E7C4F"/>
    <w:multiLevelType w:val="hybridMultilevel"/>
    <w:tmpl w:val="636492C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1067906"/>
    <w:multiLevelType w:val="hybridMultilevel"/>
    <w:tmpl w:val="36AE039C"/>
    <w:lvl w:ilvl="0" w:tplc="EFD421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8B77684"/>
    <w:multiLevelType w:val="hybridMultilevel"/>
    <w:tmpl w:val="C9A4340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3F8D493E"/>
    <w:multiLevelType w:val="hybridMultilevel"/>
    <w:tmpl w:val="D8223E3A"/>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9AE5F76"/>
    <w:multiLevelType w:val="hybridMultilevel"/>
    <w:tmpl w:val="D8223E3A"/>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5090914"/>
    <w:multiLevelType w:val="hybridMultilevel"/>
    <w:tmpl w:val="9F5C0CAC"/>
    <w:lvl w:ilvl="0" w:tplc="C2F005D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5196E14"/>
    <w:multiLevelType w:val="hybridMultilevel"/>
    <w:tmpl w:val="D8223E3A"/>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EED01C0"/>
    <w:multiLevelType w:val="hybridMultilevel"/>
    <w:tmpl w:val="A01CE47E"/>
    <w:lvl w:ilvl="0" w:tplc="C9CEA0DC">
      <w:start w:val="1"/>
      <w:numFmt w:val="decimal"/>
      <w:lvlText w:val="%1."/>
      <w:lvlJc w:val="left"/>
      <w:pPr>
        <w:ind w:left="502" w:hanging="36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abstractNum w:abstractNumId="16" w15:restartNumberingAfterBreak="0">
    <w:nsid w:val="634757DB"/>
    <w:multiLevelType w:val="hybridMultilevel"/>
    <w:tmpl w:val="780C04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75A2543"/>
    <w:multiLevelType w:val="hybridMultilevel"/>
    <w:tmpl w:val="789C8A42"/>
    <w:lvl w:ilvl="0" w:tplc="67E2BBCE">
      <w:start w:val="1"/>
      <w:numFmt w:val="decimal"/>
      <w:lvlText w:val="%1."/>
      <w:lvlJc w:val="left"/>
      <w:pPr>
        <w:ind w:left="4897" w:hanging="360"/>
      </w:pPr>
      <w:rPr>
        <w:rFonts w:eastAsiaTheme="minorHAnsi"/>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6921709A"/>
    <w:multiLevelType w:val="hybridMultilevel"/>
    <w:tmpl w:val="D8223E3A"/>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C71BCA"/>
    <w:multiLevelType w:val="hybridMultilevel"/>
    <w:tmpl w:val="789C8A42"/>
    <w:lvl w:ilvl="0" w:tplc="67E2BBCE">
      <w:start w:val="1"/>
      <w:numFmt w:val="decimal"/>
      <w:lvlText w:val="%1."/>
      <w:lvlJc w:val="left"/>
      <w:pPr>
        <w:ind w:left="3196" w:hanging="360"/>
      </w:pPr>
      <w:rPr>
        <w:rFonts w:eastAsiaTheme="minorHAnsi"/>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77FC507F"/>
    <w:multiLevelType w:val="hybridMultilevel"/>
    <w:tmpl w:val="CBCA9FA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540552478">
    <w:abstractNumId w:val="4"/>
  </w:num>
  <w:num w:numId="2" w16cid:durableId="284770988">
    <w:abstractNumId w:val="15"/>
  </w:num>
  <w:num w:numId="3" w16cid:durableId="367605469">
    <w:abstractNumId w:val="2"/>
  </w:num>
  <w:num w:numId="4" w16cid:durableId="480777608">
    <w:abstractNumId w:val="19"/>
  </w:num>
  <w:num w:numId="5" w16cid:durableId="1669595719">
    <w:abstractNumId w:val="17"/>
  </w:num>
  <w:num w:numId="6" w16cid:durableId="2099717188">
    <w:abstractNumId w:val="10"/>
  </w:num>
  <w:num w:numId="7" w16cid:durableId="296574065">
    <w:abstractNumId w:val="1"/>
  </w:num>
  <w:num w:numId="8" w16cid:durableId="1885946159">
    <w:abstractNumId w:val="0"/>
  </w:num>
  <w:num w:numId="9" w16cid:durableId="1578132694">
    <w:abstractNumId w:val="12"/>
  </w:num>
  <w:num w:numId="10" w16cid:durableId="2042167552">
    <w:abstractNumId w:val="14"/>
  </w:num>
  <w:num w:numId="11" w16cid:durableId="759258049">
    <w:abstractNumId w:val="5"/>
  </w:num>
  <w:num w:numId="12" w16cid:durableId="503938170">
    <w:abstractNumId w:val="11"/>
  </w:num>
  <w:num w:numId="13" w16cid:durableId="1565532045">
    <w:abstractNumId w:val="6"/>
  </w:num>
  <w:num w:numId="14" w16cid:durableId="252933182">
    <w:abstractNumId w:val="18"/>
  </w:num>
  <w:num w:numId="15" w16cid:durableId="937561948">
    <w:abstractNumId w:val="3"/>
  </w:num>
  <w:num w:numId="16" w16cid:durableId="16118868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04897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1317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74358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13204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33675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6400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9743185">
    <w:abstractNumId w:val="8"/>
  </w:num>
  <w:num w:numId="24" w16cid:durableId="668290852">
    <w:abstractNumId w:val="13"/>
  </w:num>
  <w:num w:numId="25" w16cid:durableId="681317636">
    <w:abstractNumId w:val="9"/>
  </w:num>
  <w:num w:numId="26" w16cid:durableId="284386009">
    <w:abstractNumId w:val="16"/>
  </w:num>
  <w:num w:numId="27" w16cid:durableId="1198816178">
    <w:abstractNumId w:val="7"/>
  </w:num>
  <w:num w:numId="28" w16cid:durableId="1291398409">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984"/>
    <w:rsid w:val="000002C2"/>
    <w:rsid w:val="00002E4F"/>
    <w:rsid w:val="00004FB9"/>
    <w:rsid w:val="00010260"/>
    <w:rsid w:val="0001096A"/>
    <w:rsid w:val="000142C9"/>
    <w:rsid w:val="000150DD"/>
    <w:rsid w:val="00015A7C"/>
    <w:rsid w:val="00020577"/>
    <w:rsid w:val="00022F91"/>
    <w:rsid w:val="00022FE0"/>
    <w:rsid w:val="000308BA"/>
    <w:rsid w:val="00032B63"/>
    <w:rsid w:val="00040901"/>
    <w:rsid w:val="00040C13"/>
    <w:rsid w:val="00045512"/>
    <w:rsid w:val="000463B6"/>
    <w:rsid w:val="00046FEA"/>
    <w:rsid w:val="000510A2"/>
    <w:rsid w:val="00051504"/>
    <w:rsid w:val="00053E18"/>
    <w:rsid w:val="000542C1"/>
    <w:rsid w:val="000546FB"/>
    <w:rsid w:val="00054DB1"/>
    <w:rsid w:val="00061DCF"/>
    <w:rsid w:val="00062049"/>
    <w:rsid w:val="00062369"/>
    <w:rsid w:val="00062AB3"/>
    <w:rsid w:val="00065105"/>
    <w:rsid w:val="00067950"/>
    <w:rsid w:val="00067A37"/>
    <w:rsid w:val="00071297"/>
    <w:rsid w:val="00071A7B"/>
    <w:rsid w:val="00074E18"/>
    <w:rsid w:val="00075372"/>
    <w:rsid w:val="00076716"/>
    <w:rsid w:val="00083795"/>
    <w:rsid w:val="0008449F"/>
    <w:rsid w:val="00084541"/>
    <w:rsid w:val="00084715"/>
    <w:rsid w:val="000847E3"/>
    <w:rsid w:val="00085405"/>
    <w:rsid w:val="00085B3C"/>
    <w:rsid w:val="00090CAF"/>
    <w:rsid w:val="00091E80"/>
    <w:rsid w:val="00094E99"/>
    <w:rsid w:val="0009750E"/>
    <w:rsid w:val="000A0033"/>
    <w:rsid w:val="000A1331"/>
    <w:rsid w:val="000A257D"/>
    <w:rsid w:val="000A2D1A"/>
    <w:rsid w:val="000A5CA2"/>
    <w:rsid w:val="000A6958"/>
    <w:rsid w:val="000A6D02"/>
    <w:rsid w:val="000B031E"/>
    <w:rsid w:val="000B06D3"/>
    <w:rsid w:val="000B0E9F"/>
    <w:rsid w:val="000B0FEB"/>
    <w:rsid w:val="000B1C91"/>
    <w:rsid w:val="000B22FB"/>
    <w:rsid w:val="000B5CC0"/>
    <w:rsid w:val="000B7416"/>
    <w:rsid w:val="000B7716"/>
    <w:rsid w:val="000B7C70"/>
    <w:rsid w:val="000C1337"/>
    <w:rsid w:val="000C17DB"/>
    <w:rsid w:val="000C3079"/>
    <w:rsid w:val="000C3A7F"/>
    <w:rsid w:val="000C5209"/>
    <w:rsid w:val="000C6513"/>
    <w:rsid w:val="000D1DA6"/>
    <w:rsid w:val="000D3CBA"/>
    <w:rsid w:val="000D63C8"/>
    <w:rsid w:val="000D6ECF"/>
    <w:rsid w:val="000E4116"/>
    <w:rsid w:val="000E6750"/>
    <w:rsid w:val="000E7434"/>
    <w:rsid w:val="000E7B06"/>
    <w:rsid w:val="000F0CCE"/>
    <w:rsid w:val="000F4B3F"/>
    <w:rsid w:val="000F5B37"/>
    <w:rsid w:val="000F6046"/>
    <w:rsid w:val="00101236"/>
    <w:rsid w:val="0010190C"/>
    <w:rsid w:val="00101B2B"/>
    <w:rsid w:val="001061B0"/>
    <w:rsid w:val="001066E5"/>
    <w:rsid w:val="0010754C"/>
    <w:rsid w:val="00110DDA"/>
    <w:rsid w:val="00111C98"/>
    <w:rsid w:val="00115091"/>
    <w:rsid w:val="00115D0E"/>
    <w:rsid w:val="00116EB2"/>
    <w:rsid w:val="0012264B"/>
    <w:rsid w:val="0012531C"/>
    <w:rsid w:val="00126A0B"/>
    <w:rsid w:val="001276F7"/>
    <w:rsid w:val="00127C90"/>
    <w:rsid w:val="00131E18"/>
    <w:rsid w:val="0013370E"/>
    <w:rsid w:val="0013430D"/>
    <w:rsid w:val="00135F37"/>
    <w:rsid w:val="00135FC3"/>
    <w:rsid w:val="00136CB0"/>
    <w:rsid w:val="00141F19"/>
    <w:rsid w:val="00144A1B"/>
    <w:rsid w:val="00144E4F"/>
    <w:rsid w:val="00144FBB"/>
    <w:rsid w:val="00145B03"/>
    <w:rsid w:val="0014689F"/>
    <w:rsid w:val="00150918"/>
    <w:rsid w:val="0015262E"/>
    <w:rsid w:val="0015287A"/>
    <w:rsid w:val="00153596"/>
    <w:rsid w:val="00153A18"/>
    <w:rsid w:val="00154A01"/>
    <w:rsid w:val="00163801"/>
    <w:rsid w:val="00164CF7"/>
    <w:rsid w:val="001704D1"/>
    <w:rsid w:val="00171AC6"/>
    <w:rsid w:val="001736E0"/>
    <w:rsid w:val="00176A7B"/>
    <w:rsid w:val="0017723A"/>
    <w:rsid w:val="00177398"/>
    <w:rsid w:val="00177B05"/>
    <w:rsid w:val="001804B2"/>
    <w:rsid w:val="00180916"/>
    <w:rsid w:val="0018225A"/>
    <w:rsid w:val="00182CC8"/>
    <w:rsid w:val="00184A65"/>
    <w:rsid w:val="00186B3A"/>
    <w:rsid w:val="0019285C"/>
    <w:rsid w:val="0019511C"/>
    <w:rsid w:val="001957F2"/>
    <w:rsid w:val="001A15EA"/>
    <w:rsid w:val="001A4E98"/>
    <w:rsid w:val="001A6CC9"/>
    <w:rsid w:val="001B4D50"/>
    <w:rsid w:val="001C41E2"/>
    <w:rsid w:val="001C7E62"/>
    <w:rsid w:val="001D269F"/>
    <w:rsid w:val="001D780A"/>
    <w:rsid w:val="001E0231"/>
    <w:rsid w:val="001E0515"/>
    <w:rsid w:val="001E0558"/>
    <w:rsid w:val="001E30ED"/>
    <w:rsid w:val="001E4A19"/>
    <w:rsid w:val="001E6ECC"/>
    <w:rsid w:val="001E7B6F"/>
    <w:rsid w:val="001F0F0B"/>
    <w:rsid w:val="001F28B9"/>
    <w:rsid w:val="001F4D2F"/>
    <w:rsid w:val="001F51EB"/>
    <w:rsid w:val="001F5D2C"/>
    <w:rsid w:val="00200CB7"/>
    <w:rsid w:val="00210CBF"/>
    <w:rsid w:val="00210E9E"/>
    <w:rsid w:val="0021193D"/>
    <w:rsid w:val="0021411C"/>
    <w:rsid w:val="00215A3E"/>
    <w:rsid w:val="0022175E"/>
    <w:rsid w:val="00223B9D"/>
    <w:rsid w:val="00224325"/>
    <w:rsid w:val="002248ED"/>
    <w:rsid w:val="00224E10"/>
    <w:rsid w:val="0022569F"/>
    <w:rsid w:val="00226CB5"/>
    <w:rsid w:val="0023313C"/>
    <w:rsid w:val="002354BD"/>
    <w:rsid w:val="0024357E"/>
    <w:rsid w:val="00244395"/>
    <w:rsid w:val="0024519D"/>
    <w:rsid w:val="00245595"/>
    <w:rsid w:val="00245CE0"/>
    <w:rsid w:val="00246A46"/>
    <w:rsid w:val="00251B46"/>
    <w:rsid w:val="00255B55"/>
    <w:rsid w:val="002634D9"/>
    <w:rsid w:val="00265B90"/>
    <w:rsid w:val="00265BC0"/>
    <w:rsid w:val="00265E6A"/>
    <w:rsid w:val="00270C76"/>
    <w:rsid w:val="00275D39"/>
    <w:rsid w:val="00276390"/>
    <w:rsid w:val="0027717E"/>
    <w:rsid w:val="00280DD3"/>
    <w:rsid w:val="00281EE6"/>
    <w:rsid w:val="002821CD"/>
    <w:rsid w:val="00283034"/>
    <w:rsid w:val="00286839"/>
    <w:rsid w:val="00290A2F"/>
    <w:rsid w:val="002924A7"/>
    <w:rsid w:val="00293C50"/>
    <w:rsid w:val="00296C4C"/>
    <w:rsid w:val="002A0882"/>
    <w:rsid w:val="002A31ED"/>
    <w:rsid w:val="002A3319"/>
    <w:rsid w:val="002A79E5"/>
    <w:rsid w:val="002B3F61"/>
    <w:rsid w:val="002B644D"/>
    <w:rsid w:val="002B6DB6"/>
    <w:rsid w:val="002B70C2"/>
    <w:rsid w:val="002C14AB"/>
    <w:rsid w:val="002C62D7"/>
    <w:rsid w:val="002C6451"/>
    <w:rsid w:val="002D0F68"/>
    <w:rsid w:val="002D32CC"/>
    <w:rsid w:val="002D3339"/>
    <w:rsid w:val="002D35D3"/>
    <w:rsid w:val="002D3AB9"/>
    <w:rsid w:val="002D465C"/>
    <w:rsid w:val="002D6E2C"/>
    <w:rsid w:val="002D756C"/>
    <w:rsid w:val="002E06DF"/>
    <w:rsid w:val="002E2F3B"/>
    <w:rsid w:val="002E675E"/>
    <w:rsid w:val="002E6980"/>
    <w:rsid w:val="002F1B7D"/>
    <w:rsid w:val="002F39AA"/>
    <w:rsid w:val="002F6489"/>
    <w:rsid w:val="00301B62"/>
    <w:rsid w:val="00302BF4"/>
    <w:rsid w:val="00302C13"/>
    <w:rsid w:val="00304297"/>
    <w:rsid w:val="00306DE0"/>
    <w:rsid w:val="00316EA7"/>
    <w:rsid w:val="00317000"/>
    <w:rsid w:val="003210DF"/>
    <w:rsid w:val="0032394A"/>
    <w:rsid w:val="00324AC6"/>
    <w:rsid w:val="003255A5"/>
    <w:rsid w:val="00331447"/>
    <w:rsid w:val="003328CA"/>
    <w:rsid w:val="00333A75"/>
    <w:rsid w:val="00334C9A"/>
    <w:rsid w:val="00336802"/>
    <w:rsid w:val="0034355D"/>
    <w:rsid w:val="00344AC3"/>
    <w:rsid w:val="00345992"/>
    <w:rsid w:val="00347656"/>
    <w:rsid w:val="0035022D"/>
    <w:rsid w:val="00350A50"/>
    <w:rsid w:val="003516BC"/>
    <w:rsid w:val="0035171E"/>
    <w:rsid w:val="00354918"/>
    <w:rsid w:val="00354C51"/>
    <w:rsid w:val="003611B8"/>
    <w:rsid w:val="003616D7"/>
    <w:rsid w:val="00363C0F"/>
    <w:rsid w:val="00370C43"/>
    <w:rsid w:val="0037271F"/>
    <w:rsid w:val="00375CE4"/>
    <w:rsid w:val="00376658"/>
    <w:rsid w:val="0037782F"/>
    <w:rsid w:val="003814B4"/>
    <w:rsid w:val="0038188E"/>
    <w:rsid w:val="0038219B"/>
    <w:rsid w:val="003823C6"/>
    <w:rsid w:val="00383A28"/>
    <w:rsid w:val="00385351"/>
    <w:rsid w:val="00386B25"/>
    <w:rsid w:val="00387B75"/>
    <w:rsid w:val="00391C0A"/>
    <w:rsid w:val="00392725"/>
    <w:rsid w:val="00392CB3"/>
    <w:rsid w:val="00396BFD"/>
    <w:rsid w:val="00397089"/>
    <w:rsid w:val="00397D7E"/>
    <w:rsid w:val="00397F29"/>
    <w:rsid w:val="003A1ECA"/>
    <w:rsid w:val="003A2633"/>
    <w:rsid w:val="003A4C73"/>
    <w:rsid w:val="003A4F82"/>
    <w:rsid w:val="003A54B5"/>
    <w:rsid w:val="003A577F"/>
    <w:rsid w:val="003A7DAC"/>
    <w:rsid w:val="003B0315"/>
    <w:rsid w:val="003B164F"/>
    <w:rsid w:val="003B1F0A"/>
    <w:rsid w:val="003B2627"/>
    <w:rsid w:val="003B334C"/>
    <w:rsid w:val="003B3976"/>
    <w:rsid w:val="003B458D"/>
    <w:rsid w:val="003B533A"/>
    <w:rsid w:val="003B74DC"/>
    <w:rsid w:val="003C1413"/>
    <w:rsid w:val="003C2710"/>
    <w:rsid w:val="003C5B48"/>
    <w:rsid w:val="003D0BAE"/>
    <w:rsid w:val="003D225E"/>
    <w:rsid w:val="003D4390"/>
    <w:rsid w:val="003D614A"/>
    <w:rsid w:val="003D715B"/>
    <w:rsid w:val="003D7FCF"/>
    <w:rsid w:val="003E2C45"/>
    <w:rsid w:val="003E3930"/>
    <w:rsid w:val="003E40C3"/>
    <w:rsid w:val="003E5A42"/>
    <w:rsid w:val="003E620E"/>
    <w:rsid w:val="003F06B3"/>
    <w:rsid w:val="003F1002"/>
    <w:rsid w:val="003F2C34"/>
    <w:rsid w:val="003F3189"/>
    <w:rsid w:val="003F4B87"/>
    <w:rsid w:val="003F63D6"/>
    <w:rsid w:val="003F78E1"/>
    <w:rsid w:val="004053B5"/>
    <w:rsid w:val="00405A2A"/>
    <w:rsid w:val="00410074"/>
    <w:rsid w:val="00411294"/>
    <w:rsid w:val="00411783"/>
    <w:rsid w:val="004168CC"/>
    <w:rsid w:val="0042010A"/>
    <w:rsid w:val="00421BA1"/>
    <w:rsid w:val="00425067"/>
    <w:rsid w:val="00425CD2"/>
    <w:rsid w:val="004269EE"/>
    <w:rsid w:val="00427367"/>
    <w:rsid w:val="00427F7A"/>
    <w:rsid w:val="00430C4D"/>
    <w:rsid w:val="004352F8"/>
    <w:rsid w:val="00440C57"/>
    <w:rsid w:val="004426A7"/>
    <w:rsid w:val="0044337F"/>
    <w:rsid w:val="00447B57"/>
    <w:rsid w:val="00450DD8"/>
    <w:rsid w:val="0045418C"/>
    <w:rsid w:val="00454583"/>
    <w:rsid w:val="00456772"/>
    <w:rsid w:val="00460CE2"/>
    <w:rsid w:val="0046169F"/>
    <w:rsid w:val="00461C5B"/>
    <w:rsid w:val="004666D4"/>
    <w:rsid w:val="00467189"/>
    <w:rsid w:val="00472592"/>
    <w:rsid w:val="0047327B"/>
    <w:rsid w:val="004736AB"/>
    <w:rsid w:val="00475BDD"/>
    <w:rsid w:val="00476E16"/>
    <w:rsid w:val="00477449"/>
    <w:rsid w:val="004871FC"/>
    <w:rsid w:val="004879FC"/>
    <w:rsid w:val="00490079"/>
    <w:rsid w:val="004915A2"/>
    <w:rsid w:val="00492195"/>
    <w:rsid w:val="0049302D"/>
    <w:rsid w:val="0049585F"/>
    <w:rsid w:val="004977B9"/>
    <w:rsid w:val="004A2434"/>
    <w:rsid w:val="004A28E3"/>
    <w:rsid w:val="004A304B"/>
    <w:rsid w:val="004A34B1"/>
    <w:rsid w:val="004A59CC"/>
    <w:rsid w:val="004B05C7"/>
    <w:rsid w:val="004B1367"/>
    <w:rsid w:val="004B2073"/>
    <w:rsid w:val="004B37C3"/>
    <w:rsid w:val="004B5272"/>
    <w:rsid w:val="004B5495"/>
    <w:rsid w:val="004B7F02"/>
    <w:rsid w:val="004C077C"/>
    <w:rsid w:val="004C22B6"/>
    <w:rsid w:val="004C2C1A"/>
    <w:rsid w:val="004C3CF7"/>
    <w:rsid w:val="004C5729"/>
    <w:rsid w:val="004C5831"/>
    <w:rsid w:val="004C5B09"/>
    <w:rsid w:val="004C5FFB"/>
    <w:rsid w:val="004C611B"/>
    <w:rsid w:val="004C65D9"/>
    <w:rsid w:val="004C690D"/>
    <w:rsid w:val="004D1836"/>
    <w:rsid w:val="004D29B7"/>
    <w:rsid w:val="004D34D1"/>
    <w:rsid w:val="004D3CBC"/>
    <w:rsid w:val="004D4611"/>
    <w:rsid w:val="004D47FA"/>
    <w:rsid w:val="004E0AE8"/>
    <w:rsid w:val="004E3503"/>
    <w:rsid w:val="004E591D"/>
    <w:rsid w:val="004E65F3"/>
    <w:rsid w:val="004E7683"/>
    <w:rsid w:val="004E7EF0"/>
    <w:rsid w:val="004F04E8"/>
    <w:rsid w:val="004F0EBB"/>
    <w:rsid w:val="004F2589"/>
    <w:rsid w:val="004F303C"/>
    <w:rsid w:val="004F5B8F"/>
    <w:rsid w:val="004F5CA4"/>
    <w:rsid w:val="004F64F2"/>
    <w:rsid w:val="005003F7"/>
    <w:rsid w:val="00501F5C"/>
    <w:rsid w:val="005021C7"/>
    <w:rsid w:val="00503767"/>
    <w:rsid w:val="0050495A"/>
    <w:rsid w:val="00505DFF"/>
    <w:rsid w:val="00510CE4"/>
    <w:rsid w:val="0051189E"/>
    <w:rsid w:val="00512B18"/>
    <w:rsid w:val="00512BC5"/>
    <w:rsid w:val="00517E6C"/>
    <w:rsid w:val="00523F45"/>
    <w:rsid w:val="00530E53"/>
    <w:rsid w:val="00530F5D"/>
    <w:rsid w:val="00531979"/>
    <w:rsid w:val="005319C7"/>
    <w:rsid w:val="00536DEB"/>
    <w:rsid w:val="005374A0"/>
    <w:rsid w:val="0054061E"/>
    <w:rsid w:val="00540DDE"/>
    <w:rsid w:val="005416D3"/>
    <w:rsid w:val="005419DD"/>
    <w:rsid w:val="005434DA"/>
    <w:rsid w:val="00544AA7"/>
    <w:rsid w:val="005476FB"/>
    <w:rsid w:val="005513E1"/>
    <w:rsid w:val="00556F8C"/>
    <w:rsid w:val="00557FCA"/>
    <w:rsid w:val="0056273D"/>
    <w:rsid w:val="00564DB1"/>
    <w:rsid w:val="005655F7"/>
    <w:rsid w:val="0057148F"/>
    <w:rsid w:val="00571906"/>
    <w:rsid w:val="00571E5C"/>
    <w:rsid w:val="005721DB"/>
    <w:rsid w:val="00573A09"/>
    <w:rsid w:val="00574F3D"/>
    <w:rsid w:val="005751B1"/>
    <w:rsid w:val="00582A7C"/>
    <w:rsid w:val="005855BD"/>
    <w:rsid w:val="0059392C"/>
    <w:rsid w:val="00593D51"/>
    <w:rsid w:val="00594581"/>
    <w:rsid w:val="0059578E"/>
    <w:rsid w:val="00597E7A"/>
    <w:rsid w:val="005A00ED"/>
    <w:rsid w:val="005A11BD"/>
    <w:rsid w:val="005A18C8"/>
    <w:rsid w:val="005A36F4"/>
    <w:rsid w:val="005A3AB4"/>
    <w:rsid w:val="005A4C3F"/>
    <w:rsid w:val="005A657D"/>
    <w:rsid w:val="005A679B"/>
    <w:rsid w:val="005B1A3E"/>
    <w:rsid w:val="005B22C0"/>
    <w:rsid w:val="005B279F"/>
    <w:rsid w:val="005B60B8"/>
    <w:rsid w:val="005B6B2E"/>
    <w:rsid w:val="005B6B2F"/>
    <w:rsid w:val="005B7DF9"/>
    <w:rsid w:val="005C1113"/>
    <w:rsid w:val="005C1CDA"/>
    <w:rsid w:val="005C723B"/>
    <w:rsid w:val="005C75C2"/>
    <w:rsid w:val="005C75E4"/>
    <w:rsid w:val="005D174C"/>
    <w:rsid w:val="005E270B"/>
    <w:rsid w:val="005E4652"/>
    <w:rsid w:val="005E6ECA"/>
    <w:rsid w:val="005E706E"/>
    <w:rsid w:val="005F01BF"/>
    <w:rsid w:val="005F2069"/>
    <w:rsid w:val="005F3DC9"/>
    <w:rsid w:val="005F4A2A"/>
    <w:rsid w:val="005F6A1A"/>
    <w:rsid w:val="005F6AF5"/>
    <w:rsid w:val="006062FD"/>
    <w:rsid w:val="00613EEA"/>
    <w:rsid w:val="00615AE5"/>
    <w:rsid w:val="00615EF6"/>
    <w:rsid w:val="006165C6"/>
    <w:rsid w:val="006214F8"/>
    <w:rsid w:val="00621778"/>
    <w:rsid w:val="00622692"/>
    <w:rsid w:val="00622A87"/>
    <w:rsid w:val="006242A0"/>
    <w:rsid w:val="00625503"/>
    <w:rsid w:val="00627697"/>
    <w:rsid w:val="00634A12"/>
    <w:rsid w:val="00635A9A"/>
    <w:rsid w:val="00636F3F"/>
    <w:rsid w:val="00637DF5"/>
    <w:rsid w:val="00640961"/>
    <w:rsid w:val="006423DD"/>
    <w:rsid w:val="006436F9"/>
    <w:rsid w:val="006436FC"/>
    <w:rsid w:val="00644BBE"/>
    <w:rsid w:val="00645E2A"/>
    <w:rsid w:val="0064656B"/>
    <w:rsid w:val="00646718"/>
    <w:rsid w:val="0064685E"/>
    <w:rsid w:val="006502DF"/>
    <w:rsid w:val="00650B7A"/>
    <w:rsid w:val="00652214"/>
    <w:rsid w:val="006541F1"/>
    <w:rsid w:val="00662556"/>
    <w:rsid w:val="006634B6"/>
    <w:rsid w:val="0067085F"/>
    <w:rsid w:val="00671EE5"/>
    <w:rsid w:val="00674C8C"/>
    <w:rsid w:val="00674DE2"/>
    <w:rsid w:val="00677160"/>
    <w:rsid w:val="006773DD"/>
    <w:rsid w:val="0068074D"/>
    <w:rsid w:val="00680B74"/>
    <w:rsid w:val="00684307"/>
    <w:rsid w:val="00686025"/>
    <w:rsid w:val="00687B10"/>
    <w:rsid w:val="00687BBA"/>
    <w:rsid w:val="00691179"/>
    <w:rsid w:val="00692AE4"/>
    <w:rsid w:val="00693D94"/>
    <w:rsid w:val="00695625"/>
    <w:rsid w:val="00695741"/>
    <w:rsid w:val="00696D96"/>
    <w:rsid w:val="006A3813"/>
    <w:rsid w:val="006A6987"/>
    <w:rsid w:val="006A7348"/>
    <w:rsid w:val="006A7C97"/>
    <w:rsid w:val="006B1735"/>
    <w:rsid w:val="006B34DF"/>
    <w:rsid w:val="006B3B81"/>
    <w:rsid w:val="006B73C1"/>
    <w:rsid w:val="006C49A2"/>
    <w:rsid w:val="006C58A7"/>
    <w:rsid w:val="006D1AED"/>
    <w:rsid w:val="006D2A71"/>
    <w:rsid w:val="006E1DA8"/>
    <w:rsid w:val="006E2C57"/>
    <w:rsid w:val="006E3241"/>
    <w:rsid w:val="006E32BF"/>
    <w:rsid w:val="006E3D19"/>
    <w:rsid w:val="006E4F9B"/>
    <w:rsid w:val="006E5460"/>
    <w:rsid w:val="006E54C7"/>
    <w:rsid w:val="006E5F17"/>
    <w:rsid w:val="006E67E1"/>
    <w:rsid w:val="006E79C5"/>
    <w:rsid w:val="006F0F90"/>
    <w:rsid w:val="006F3B54"/>
    <w:rsid w:val="006F464D"/>
    <w:rsid w:val="006F7211"/>
    <w:rsid w:val="006F76FC"/>
    <w:rsid w:val="00703A27"/>
    <w:rsid w:val="00705E3B"/>
    <w:rsid w:val="00706BB5"/>
    <w:rsid w:val="00707AAB"/>
    <w:rsid w:val="00711B8A"/>
    <w:rsid w:val="00712B5B"/>
    <w:rsid w:val="00715CCE"/>
    <w:rsid w:val="00716520"/>
    <w:rsid w:val="00717C7E"/>
    <w:rsid w:val="007203AF"/>
    <w:rsid w:val="0072249F"/>
    <w:rsid w:val="00724814"/>
    <w:rsid w:val="00726356"/>
    <w:rsid w:val="0072684B"/>
    <w:rsid w:val="00730704"/>
    <w:rsid w:val="0073286C"/>
    <w:rsid w:val="00732C36"/>
    <w:rsid w:val="007339BD"/>
    <w:rsid w:val="00733D22"/>
    <w:rsid w:val="0073443D"/>
    <w:rsid w:val="007358D0"/>
    <w:rsid w:val="00735B9F"/>
    <w:rsid w:val="00737254"/>
    <w:rsid w:val="00737E02"/>
    <w:rsid w:val="0074160B"/>
    <w:rsid w:val="00742D32"/>
    <w:rsid w:val="00744D9A"/>
    <w:rsid w:val="00744DA0"/>
    <w:rsid w:val="0074579F"/>
    <w:rsid w:val="00750F86"/>
    <w:rsid w:val="00752FC1"/>
    <w:rsid w:val="0075649B"/>
    <w:rsid w:val="00761EFB"/>
    <w:rsid w:val="00762547"/>
    <w:rsid w:val="00763565"/>
    <w:rsid w:val="00763FDF"/>
    <w:rsid w:val="00764215"/>
    <w:rsid w:val="007658D0"/>
    <w:rsid w:val="00767A04"/>
    <w:rsid w:val="00771972"/>
    <w:rsid w:val="007719E1"/>
    <w:rsid w:val="00774E79"/>
    <w:rsid w:val="0077641C"/>
    <w:rsid w:val="007764EA"/>
    <w:rsid w:val="007773D6"/>
    <w:rsid w:val="00777BDD"/>
    <w:rsid w:val="00785440"/>
    <w:rsid w:val="0079162E"/>
    <w:rsid w:val="00792C0B"/>
    <w:rsid w:val="00793A90"/>
    <w:rsid w:val="00793EC8"/>
    <w:rsid w:val="00794287"/>
    <w:rsid w:val="00795CF7"/>
    <w:rsid w:val="00795E98"/>
    <w:rsid w:val="007966F9"/>
    <w:rsid w:val="007969A9"/>
    <w:rsid w:val="007A0E53"/>
    <w:rsid w:val="007A20FB"/>
    <w:rsid w:val="007A40AD"/>
    <w:rsid w:val="007A4965"/>
    <w:rsid w:val="007A4C56"/>
    <w:rsid w:val="007A4DBB"/>
    <w:rsid w:val="007A5A40"/>
    <w:rsid w:val="007A7272"/>
    <w:rsid w:val="007B000D"/>
    <w:rsid w:val="007B0061"/>
    <w:rsid w:val="007B155A"/>
    <w:rsid w:val="007B7AE6"/>
    <w:rsid w:val="007C2D4D"/>
    <w:rsid w:val="007C310E"/>
    <w:rsid w:val="007C3C43"/>
    <w:rsid w:val="007C4A18"/>
    <w:rsid w:val="007C4D5D"/>
    <w:rsid w:val="007C6666"/>
    <w:rsid w:val="007D0127"/>
    <w:rsid w:val="007E0B97"/>
    <w:rsid w:val="007E1525"/>
    <w:rsid w:val="007E1FFB"/>
    <w:rsid w:val="007E2DD6"/>
    <w:rsid w:val="007E6C96"/>
    <w:rsid w:val="007E7F60"/>
    <w:rsid w:val="007F0707"/>
    <w:rsid w:val="007F11E5"/>
    <w:rsid w:val="007F609D"/>
    <w:rsid w:val="007F6161"/>
    <w:rsid w:val="007F6AA7"/>
    <w:rsid w:val="007F7C04"/>
    <w:rsid w:val="007F7EEA"/>
    <w:rsid w:val="00800157"/>
    <w:rsid w:val="00800280"/>
    <w:rsid w:val="0080242D"/>
    <w:rsid w:val="008033F2"/>
    <w:rsid w:val="0080341D"/>
    <w:rsid w:val="008036B2"/>
    <w:rsid w:val="008044C2"/>
    <w:rsid w:val="00804517"/>
    <w:rsid w:val="0080562D"/>
    <w:rsid w:val="00811347"/>
    <w:rsid w:val="00811792"/>
    <w:rsid w:val="008146AF"/>
    <w:rsid w:val="008171ED"/>
    <w:rsid w:val="00822350"/>
    <w:rsid w:val="008239A8"/>
    <w:rsid w:val="008241F5"/>
    <w:rsid w:val="00826533"/>
    <w:rsid w:val="0082690C"/>
    <w:rsid w:val="008272E1"/>
    <w:rsid w:val="00830432"/>
    <w:rsid w:val="00832511"/>
    <w:rsid w:val="008326AC"/>
    <w:rsid w:val="008357B9"/>
    <w:rsid w:val="00836176"/>
    <w:rsid w:val="00836AA4"/>
    <w:rsid w:val="00840054"/>
    <w:rsid w:val="00840BB4"/>
    <w:rsid w:val="00841065"/>
    <w:rsid w:val="008447A5"/>
    <w:rsid w:val="00845CB9"/>
    <w:rsid w:val="00851E1E"/>
    <w:rsid w:val="0085210C"/>
    <w:rsid w:val="008524CA"/>
    <w:rsid w:val="00854947"/>
    <w:rsid w:val="00855FC6"/>
    <w:rsid w:val="00857779"/>
    <w:rsid w:val="00857C7C"/>
    <w:rsid w:val="00857FE0"/>
    <w:rsid w:val="00857FF0"/>
    <w:rsid w:val="008631DE"/>
    <w:rsid w:val="008641C3"/>
    <w:rsid w:val="00866468"/>
    <w:rsid w:val="00866E61"/>
    <w:rsid w:val="00870651"/>
    <w:rsid w:val="00872F9B"/>
    <w:rsid w:val="00872FD7"/>
    <w:rsid w:val="00880070"/>
    <w:rsid w:val="00881745"/>
    <w:rsid w:val="0088317B"/>
    <w:rsid w:val="0088455B"/>
    <w:rsid w:val="008850D7"/>
    <w:rsid w:val="0088524E"/>
    <w:rsid w:val="00885D52"/>
    <w:rsid w:val="00887CC5"/>
    <w:rsid w:val="00890095"/>
    <w:rsid w:val="00890101"/>
    <w:rsid w:val="008931F3"/>
    <w:rsid w:val="008974EB"/>
    <w:rsid w:val="008A1AA0"/>
    <w:rsid w:val="008A57E3"/>
    <w:rsid w:val="008A5B60"/>
    <w:rsid w:val="008A6BC2"/>
    <w:rsid w:val="008A7442"/>
    <w:rsid w:val="008B1AE3"/>
    <w:rsid w:val="008B5485"/>
    <w:rsid w:val="008B73E7"/>
    <w:rsid w:val="008B7936"/>
    <w:rsid w:val="008C0420"/>
    <w:rsid w:val="008C2267"/>
    <w:rsid w:val="008C2FC7"/>
    <w:rsid w:val="008C3033"/>
    <w:rsid w:val="008C4566"/>
    <w:rsid w:val="008C61E9"/>
    <w:rsid w:val="008C6542"/>
    <w:rsid w:val="008D0E65"/>
    <w:rsid w:val="008D6EA7"/>
    <w:rsid w:val="008D7A66"/>
    <w:rsid w:val="008E1F18"/>
    <w:rsid w:val="008E68BA"/>
    <w:rsid w:val="008F0082"/>
    <w:rsid w:val="008F1C9B"/>
    <w:rsid w:val="008F1F24"/>
    <w:rsid w:val="008F21FE"/>
    <w:rsid w:val="008F6271"/>
    <w:rsid w:val="008F7374"/>
    <w:rsid w:val="00902F2D"/>
    <w:rsid w:val="0090372F"/>
    <w:rsid w:val="00905167"/>
    <w:rsid w:val="009142AC"/>
    <w:rsid w:val="00914717"/>
    <w:rsid w:val="00915F2D"/>
    <w:rsid w:val="00920576"/>
    <w:rsid w:val="00920BE8"/>
    <w:rsid w:val="009224CF"/>
    <w:rsid w:val="00924C60"/>
    <w:rsid w:val="00930801"/>
    <w:rsid w:val="00930D77"/>
    <w:rsid w:val="009318AC"/>
    <w:rsid w:val="00932169"/>
    <w:rsid w:val="009330D9"/>
    <w:rsid w:val="009342BB"/>
    <w:rsid w:val="00936E75"/>
    <w:rsid w:val="00937201"/>
    <w:rsid w:val="00940814"/>
    <w:rsid w:val="00944F0F"/>
    <w:rsid w:val="009450EC"/>
    <w:rsid w:val="00945558"/>
    <w:rsid w:val="009468C6"/>
    <w:rsid w:val="0094767A"/>
    <w:rsid w:val="009522D2"/>
    <w:rsid w:val="0095386B"/>
    <w:rsid w:val="009538A2"/>
    <w:rsid w:val="00954FE8"/>
    <w:rsid w:val="00957444"/>
    <w:rsid w:val="009616E6"/>
    <w:rsid w:val="00961D2D"/>
    <w:rsid w:val="00963217"/>
    <w:rsid w:val="009639BC"/>
    <w:rsid w:val="00964A9B"/>
    <w:rsid w:val="00966BC5"/>
    <w:rsid w:val="00971F1D"/>
    <w:rsid w:val="00975C3A"/>
    <w:rsid w:val="00975DA2"/>
    <w:rsid w:val="00975DE1"/>
    <w:rsid w:val="00976412"/>
    <w:rsid w:val="00976B34"/>
    <w:rsid w:val="0098174A"/>
    <w:rsid w:val="00981E28"/>
    <w:rsid w:val="0098556D"/>
    <w:rsid w:val="00986147"/>
    <w:rsid w:val="009868C3"/>
    <w:rsid w:val="00987D17"/>
    <w:rsid w:val="00991C03"/>
    <w:rsid w:val="009944D0"/>
    <w:rsid w:val="00995737"/>
    <w:rsid w:val="009967F4"/>
    <w:rsid w:val="009A0FFD"/>
    <w:rsid w:val="009A72AC"/>
    <w:rsid w:val="009A72B9"/>
    <w:rsid w:val="009A7CD7"/>
    <w:rsid w:val="009B3CC8"/>
    <w:rsid w:val="009B3CDE"/>
    <w:rsid w:val="009B42F1"/>
    <w:rsid w:val="009B4ACB"/>
    <w:rsid w:val="009B583D"/>
    <w:rsid w:val="009B654A"/>
    <w:rsid w:val="009C1315"/>
    <w:rsid w:val="009C1E56"/>
    <w:rsid w:val="009C32AD"/>
    <w:rsid w:val="009C49E8"/>
    <w:rsid w:val="009C5C9E"/>
    <w:rsid w:val="009C6711"/>
    <w:rsid w:val="009C6A98"/>
    <w:rsid w:val="009C7E46"/>
    <w:rsid w:val="009D244D"/>
    <w:rsid w:val="009D6677"/>
    <w:rsid w:val="009E363D"/>
    <w:rsid w:val="009F0AFA"/>
    <w:rsid w:val="009F19BA"/>
    <w:rsid w:val="009F2294"/>
    <w:rsid w:val="00A047C0"/>
    <w:rsid w:val="00A047C2"/>
    <w:rsid w:val="00A050A4"/>
    <w:rsid w:val="00A05C8E"/>
    <w:rsid w:val="00A10D83"/>
    <w:rsid w:val="00A11D21"/>
    <w:rsid w:val="00A12314"/>
    <w:rsid w:val="00A140F8"/>
    <w:rsid w:val="00A14908"/>
    <w:rsid w:val="00A14D2F"/>
    <w:rsid w:val="00A1776D"/>
    <w:rsid w:val="00A218B1"/>
    <w:rsid w:val="00A22642"/>
    <w:rsid w:val="00A24D6E"/>
    <w:rsid w:val="00A41F62"/>
    <w:rsid w:val="00A4294D"/>
    <w:rsid w:val="00A4435F"/>
    <w:rsid w:val="00A4546E"/>
    <w:rsid w:val="00A46EEE"/>
    <w:rsid w:val="00A521A4"/>
    <w:rsid w:val="00A5281E"/>
    <w:rsid w:val="00A53459"/>
    <w:rsid w:val="00A5653B"/>
    <w:rsid w:val="00A56FA9"/>
    <w:rsid w:val="00A62154"/>
    <w:rsid w:val="00A65465"/>
    <w:rsid w:val="00A65AB9"/>
    <w:rsid w:val="00A67AC0"/>
    <w:rsid w:val="00A70C20"/>
    <w:rsid w:val="00A73A97"/>
    <w:rsid w:val="00A74DA2"/>
    <w:rsid w:val="00A75C48"/>
    <w:rsid w:val="00A76492"/>
    <w:rsid w:val="00A826BC"/>
    <w:rsid w:val="00A85795"/>
    <w:rsid w:val="00A9027A"/>
    <w:rsid w:val="00A93779"/>
    <w:rsid w:val="00A9410C"/>
    <w:rsid w:val="00A97426"/>
    <w:rsid w:val="00AA2CC1"/>
    <w:rsid w:val="00AA3F59"/>
    <w:rsid w:val="00AA49D1"/>
    <w:rsid w:val="00AA76E7"/>
    <w:rsid w:val="00AA780E"/>
    <w:rsid w:val="00AB0377"/>
    <w:rsid w:val="00AB0BFF"/>
    <w:rsid w:val="00AB34F0"/>
    <w:rsid w:val="00AB4990"/>
    <w:rsid w:val="00AB4BFB"/>
    <w:rsid w:val="00AB5469"/>
    <w:rsid w:val="00AB76A5"/>
    <w:rsid w:val="00AC558B"/>
    <w:rsid w:val="00AD0BAA"/>
    <w:rsid w:val="00AD3A23"/>
    <w:rsid w:val="00AD6988"/>
    <w:rsid w:val="00AE0283"/>
    <w:rsid w:val="00AE0A0A"/>
    <w:rsid w:val="00AE1063"/>
    <w:rsid w:val="00AE2BC8"/>
    <w:rsid w:val="00AE3C4B"/>
    <w:rsid w:val="00AE69EE"/>
    <w:rsid w:val="00AF0F6F"/>
    <w:rsid w:val="00AF61B9"/>
    <w:rsid w:val="00AF707C"/>
    <w:rsid w:val="00B00A9D"/>
    <w:rsid w:val="00B0216D"/>
    <w:rsid w:val="00B03DAB"/>
    <w:rsid w:val="00B04F20"/>
    <w:rsid w:val="00B07179"/>
    <w:rsid w:val="00B07D29"/>
    <w:rsid w:val="00B07FE4"/>
    <w:rsid w:val="00B10144"/>
    <w:rsid w:val="00B109C7"/>
    <w:rsid w:val="00B1152D"/>
    <w:rsid w:val="00B11572"/>
    <w:rsid w:val="00B12A64"/>
    <w:rsid w:val="00B14849"/>
    <w:rsid w:val="00B15139"/>
    <w:rsid w:val="00B20B79"/>
    <w:rsid w:val="00B22292"/>
    <w:rsid w:val="00B26585"/>
    <w:rsid w:val="00B3087A"/>
    <w:rsid w:val="00B31BFB"/>
    <w:rsid w:val="00B350A8"/>
    <w:rsid w:val="00B42365"/>
    <w:rsid w:val="00B44F63"/>
    <w:rsid w:val="00B45391"/>
    <w:rsid w:val="00B4552A"/>
    <w:rsid w:val="00B4609F"/>
    <w:rsid w:val="00B46BC0"/>
    <w:rsid w:val="00B51752"/>
    <w:rsid w:val="00B53445"/>
    <w:rsid w:val="00B538FF"/>
    <w:rsid w:val="00B54081"/>
    <w:rsid w:val="00B541F7"/>
    <w:rsid w:val="00B54794"/>
    <w:rsid w:val="00B54AD5"/>
    <w:rsid w:val="00B5742C"/>
    <w:rsid w:val="00B61329"/>
    <w:rsid w:val="00B62B7C"/>
    <w:rsid w:val="00B66A35"/>
    <w:rsid w:val="00B67DC8"/>
    <w:rsid w:val="00B779AE"/>
    <w:rsid w:val="00B81D53"/>
    <w:rsid w:val="00B83042"/>
    <w:rsid w:val="00B83674"/>
    <w:rsid w:val="00B83EE9"/>
    <w:rsid w:val="00B86373"/>
    <w:rsid w:val="00B876EE"/>
    <w:rsid w:val="00B9028B"/>
    <w:rsid w:val="00B90698"/>
    <w:rsid w:val="00B922BE"/>
    <w:rsid w:val="00B922EC"/>
    <w:rsid w:val="00B927F9"/>
    <w:rsid w:val="00B93B29"/>
    <w:rsid w:val="00B94EBB"/>
    <w:rsid w:val="00B95114"/>
    <w:rsid w:val="00B95363"/>
    <w:rsid w:val="00B96EEC"/>
    <w:rsid w:val="00BA2CD0"/>
    <w:rsid w:val="00BA381D"/>
    <w:rsid w:val="00BA6D92"/>
    <w:rsid w:val="00BA735C"/>
    <w:rsid w:val="00BA7D92"/>
    <w:rsid w:val="00BB0AAF"/>
    <w:rsid w:val="00BB1A15"/>
    <w:rsid w:val="00BB1D58"/>
    <w:rsid w:val="00BC4489"/>
    <w:rsid w:val="00BC5174"/>
    <w:rsid w:val="00BD021C"/>
    <w:rsid w:val="00BD25E5"/>
    <w:rsid w:val="00BD60B4"/>
    <w:rsid w:val="00BD6173"/>
    <w:rsid w:val="00BD6760"/>
    <w:rsid w:val="00BE1B15"/>
    <w:rsid w:val="00BE65C2"/>
    <w:rsid w:val="00BF0ED1"/>
    <w:rsid w:val="00BF1F4F"/>
    <w:rsid w:val="00BF357B"/>
    <w:rsid w:val="00BF3B71"/>
    <w:rsid w:val="00BF51C4"/>
    <w:rsid w:val="00BF744F"/>
    <w:rsid w:val="00C00A7C"/>
    <w:rsid w:val="00C01F31"/>
    <w:rsid w:val="00C02D87"/>
    <w:rsid w:val="00C04156"/>
    <w:rsid w:val="00C04A6E"/>
    <w:rsid w:val="00C04F41"/>
    <w:rsid w:val="00C06683"/>
    <w:rsid w:val="00C10560"/>
    <w:rsid w:val="00C119D2"/>
    <w:rsid w:val="00C12DE9"/>
    <w:rsid w:val="00C13056"/>
    <w:rsid w:val="00C14B8B"/>
    <w:rsid w:val="00C15940"/>
    <w:rsid w:val="00C16553"/>
    <w:rsid w:val="00C169E5"/>
    <w:rsid w:val="00C25E12"/>
    <w:rsid w:val="00C26501"/>
    <w:rsid w:val="00C32D61"/>
    <w:rsid w:val="00C33A06"/>
    <w:rsid w:val="00C34677"/>
    <w:rsid w:val="00C3601A"/>
    <w:rsid w:val="00C363D6"/>
    <w:rsid w:val="00C37605"/>
    <w:rsid w:val="00C42866"/>
    <w:rsid w:val="00C43632"/>
    <w:rsid w:val="00C44534"/>
    <w:rsid w:val="00C45771"/>
    <w:rsid w:val="00C46590"/>
    <w:rsid w:val="00C473D0"/>
    <w:rsid w:val="00C501CB"/>
    <w:rsid w:val="00C51C0F"/>
    <w:rsid w:val="00C5329B"/>
    <w:rsid w:val="00C536C5"/>
    <w:rsid w:val="00C53A2F"/>
    <w:rsid w:val="00C56595"/>
    <w:rsid w:val="00C57ABF"/>
    <w:rsid w:val="00C60F93"/>
    <w:rsid w:val="00C620E4"/>
    <w:rsid w:val="00C65F01"/>
    <w:rsid w:val="00C66DE3"/>
    <w:rsid w:val="00C67156"/>
    <w:rsid w:val="00C67A6D"/>
    <w:rsid w:val="00C759DF"/>
    <w:rsid w:val="00C75F6F"/>
    <w:rsid w:val="00C76218"/>
    <w:rsid w:val="00C762E5"/>
    <w:rsid w:val="00C77D4D"/>
    <w:rsid w:val="00C8221F"/>
    <w:rsid w:val="00C82A12"/>
    <w:rsid w:val="00C8367E"/>
    <w:rsid w:val="00C836A2"/>
    <w:rsid w:val="00C84281"/>
    <w:rsid w:val="00C84346"/>
    <w:rsid w:val="00C84E15"/>
    <w:rsid w:val="00C9107C"/>
    <w:rsid w:val="00C91D27"/>
    <w:rsid w:val="00C92868"/>
    <w:rsid w:val="00C94E45"/>
    <w:rsid w:val="00C95A49"/>
    <w:rsid w:val="00C96792"/>
    <w:rsid w:val="00C96A7F"/>
    <w:rsid w:val="00CA063A"/>
    <w:rsid w:val="00CA0F30"/>
    <w:rsid w:val="00CA3B0E"/>
    <w:rsid w:val="00CA3E6E"/>
    <w:rsid w:val="00CA50A2"/>
    <w:rsid w:val="00CA5511"/>
    <w:rsid w:val="00CA68D5"/>
    <w:rsid w:val="00CB21B4"/>
    <w:rsid w:val="00CB3865"/>
    <w:rsid w:val="00CB74B8"/>
    <w:rsid w:val="00CC0880"/>
    <w:rsid w:val="00CC0FF0"/>
    <w:rsid w:val="00CC1D2C"/>
    <w:rsid w:val="00CC34D9"/>
    <w:rsid w:val="00CC4C92"/>
    <w:rsid w:val="00CD4026"/>
    <w:rsid w:val="00CD4039"/>
    <w:rsid w:val="00CD7A7B"/>
    <w:rsid w:val="00CE0B91"/>
    <w:rsid w:val="00CE1153"/>
    <w:rsid w:val="00CE15A4"/>
    <w:rsid w:val="00CE1964"/>
    <w:rsid w:val="00CE7284"/>
    <w:rsid w:val="00CF1C39"/>
    <w:rsid w:val="00CF2A77"/>
    <w:rsid w:val="00CF36DA"/>
    <w:rsid w:val="00CF3A21"/>
    <w:rsid w:val="00CF6125"/>
    <w:rsid w:val="00D010A1"/>
    <w:rsid w:val="00D038FA"/>
    <w:rsid w:val="00D03AF2"/>
    <w:rsid w:val="00D03D87"/>
    <w:rsid w:val="00D06AFE"/>
    <w:rsid w:val="00D0744E"/>
    <w:rsid w:val="00D079D0"/>
    <w:rsid w:val="00D10338"/>
    <w:rsid w:val="00D11616"/>
    <w:rsid w:val="00D13717"/>
    <w:rsid w:val="00D16010"/>
    <w:rsid w:val="00D166B9"/>
    <w:rsid w:val="00D23411"/>
    <w:rsid w:val="00D27BF0"/>
    <w:rsid w:val="00D326E9"/>
    <w:rsid w:val="00D34D78"/>
    <w:rsid w:val="00D34E4A"/>
    <w:rsid w:val="00D3776D"/>
    <w:rsid w:val="00D432FE"/>
    <w:rsid w:val="00D43BA8"/>
    <w:rsid w:val="00D46682"/>
    <w:rsid w:val="00D467C1"/>
    <w:rsid w:val="00D4716B"/>
    <w:rsid w:val="00D501D8"/>
    <w:rsid w:val="00D5377D"/>
    <w:rsid w:val="00D5407E"/>
    <w:rsid w:val="00D55C36"/>
    <w:rsid w:val="00D61BC5"/>
    <w:rsid w:val="00D627BF"/>
    <w:rsid w:val="00D6451C"/>
    <w:rsid w:val="00D64D0C"/>
    <w:rsid w:val="00D667C2"/>
    <w:rsid w:val="00D712F4"/>
    <w:rsid w:val="00D714E5"/>
    <w:rsid w:val="00D74B9F"/>
    <w:rsid w:val="00D760C2"/>
    <w:rsid w:val="00D76C2B"/>
    <w:rsid w:val="00D776DD"/>
    <w:rsid w:val="00D807CA"/>
    <w:rsid w:val="00D80BBA"/>
    <w:rsid w:val="00D815AC"/>
    <w:rsid w:val="00D81FD3"/>
    <w:rsid w:val="00D82475"/>
    <w:rsid w:val="00D8309A"/>
    <w:rsid w:val="00D830D3"/>
    <w:rsid w:val="00D83918"/>
    <w:rsid w:val="00D858A6"/>
    <w:rsid w:val="00D9117B"/>
    <w:rsid w:val="00D91530"/>
    <w:rsid w:val="00D959BB"/>
    <w:rsid w:val="00D96F00"/>
    <w:rsid w:val="00DA0540"/>
    <w:rsid w:val="00DA20BB"/>
    <w:rsid w:val="00DA4EFB"/>
    <w:rsid w:val="00DA5959"/>
    <w:rsid w:val="00DA5BE0"/>
    <w:rsid w:val="00DB0758"/>
    <w:rsid w:val="00DB18A1"/>
    <w:rsid w:val="00DB2005"/>
    <w:rsid w:val="00DB3F69"/>
    <w:rsid w:val="00DB4C70"/>
    <w:rsid w:val="00DB63CA"/>
    <w:rsid w:val="00DC0195"/>
    <w:rsid w:val="00DC1874"/>
    <w:rsid w:val="00DC36AA"/>
    <w:rsid w:val="00DC52EB"/>
    <w:rsid w:val="00DC574D"/>
    <w:rsid w:val="00DC65DE"/>
    <w:rsid w:val="00DC7092"/>
    <w:rsid w:val="00DC7187"/>
    <w:rsid w:val="00DD5655"/>
    <w:rsid w:val="00DD7AA7"/>
    <w:rsid w:val="00DE07CA"/>
    <w:rsid w:val="00DE0C86"/>
    <w:rsid w:val="00DE1DE2"/>
    <w:rsid w:val="00DE1E7F"/>
    <w:rsid w:val="00DF1984"/>
    <w:rsid w:val="00DF19C7"/>
    <w:rsid w:val="00DF2072"/>
    <w:rsid w:val="00DF2BC2"/>
    <w:rsid w:val="00DF2F4C"/>
    <w:rsid w:val="00DF3293"/>
    <w:rsid w:val="00DF4756"/>
    <w:rsid w:val="00DF4EE9"/>
    <w:rsid w:val="00DF6DB5"/>
    <w:rsid w:val="00E0074A"/>
    <w:rsid w:val="00E01E0F"/>
    <w:rsid w:val="00E038E4"/>
    <w:rsid w:val="00E06213"/>
    <w:rsid w:val="00E10D49"/>
    <w:rsid w:val="00E11ECC"/>
    <w:rsid w:val="00E12A1F"/>
    <w:rsid w:val="00E12D74"/>
    <w:rsid w:val="00E16B2B"/>
    <w:rsid w:val="00E2110F"/>
    <w:rsid w:val="00E25E96"/>
    <w:rsid w:val="00E27B24"/>
    <w:rsid w:val="00E30DEE"/>
    <w:rsid w:val="00E32340"/>
    <w:rsid w:val="00E32BD9"/>
    <w:rsid w:val="00E33551"/>
    <w:rsid w:val="00E402F4"/>
    <w:rsid w:val="00E427AC"/>
    <w:rsid w:val="00E4405C"/>
    <w:rsid w:val="00E46392"/>
    <w:rsid w:val="00E476DB"/>
    <w:rsid w:val="00E507C3"/>
    <w:rsid w:val="00E50DDD"/>
    <w:rsid w:val="00E513FD"/>
    <w:rsid w:val="00E519E9"/>
    <w:rsid w:val="00E51D98"/>
    <w:rsid w:val="00E5218E"/>
    <w:rsid w:val="00E52A18"/>
    <w:rsid w:val="00E547B1"/>
    <w:rsid w:val="00E56A66"/>
    <w:rsid w:val="00E57073"/>
    <w:rsid w:val="00E6132D"/>
    <w:rsid w:val="00E61427"/>
    <w:rsid w:val="00E62C6F"/>
    <w:rsid w:val="00E630F0"/>
    <w:rsid w:val="00E64DDD"/>
    <w:rsid w:val="00E656B0"/>
    <w:rsid w:val="00E66065"/>
    <w:rsid w:val="00E66E24"/>
    <w:rsid w:val="00E67C06"/>
    <w:rsid w:val="00E706D5"/>
    <w:rsid w:val="00E7108F"/>
    <w:rsid w:val="00E75E49"/>
    <w:rsid w:val="00E7698C"/>
    <w:rsid w:val="00E822C6"/>
    <w:rsid w:val="00E8452A"/>
    <w:rsid w:val="00E8548C"/>
    <w:rsid w:val="00E914FA"/>
    <w:rsid w:val="00E926D9"/>
    <w:rsid w:val="00EA2555"/>
    <w:rsid w:val="00EA4172"/>
    <w:rsid w:val="00EA649E"/>
    <w:rsid w:val="00EA7F5B"/>
    <w:rsid w:val="00EB4669"/>
    <w:rsid w:val="00EB49E1"/>
    <w:rsid w:val="00EB4C9B"/>
    <w:rsid w:val="00EB682C"/>
    <w:rsid w:val="00EC0AAA"/>
    <w:rsid w:val="00EC1105"/>
    <w:rsid w:val="00EC5CCB"/>
    <w:rsid w:val="00EC79A8"/>
    <w:rsid w:val="00ED0B0A"/>
    <w:rsid w:val="00ED17A6"/>
    <w:rsid w:val="00ED2645"/>
    <w:rsid w:val="00ED30C5"/>
    <w:rsid w:val="00ED6DB2"/>
    <w:rsid w:val="00ED7EC7"/>
    <w:rsid w:val="00EE0B82"/>
    <w:rsid w:val="00EE17ED"/>
    <w:rsid w:val="00EE47A7"/>
    <w:rsid w:val="00EE55D3"/>
    <w:rsid w:val="00EE5680"/>
    <w:rsid w:val="00EE6306"/>
    <w:rsid w:val="00EE65ED"/>
    <w:rsid w:val="00EF0B83"/>
    <w:rsid w:val="00EF1E68"/>
    <w:rsid w:val="00EF4006"/>
    <w:rsid w:val="00F0011D"/>
    <w:rsid w:val="00F00A4F"/>
    <w:rsid w:val="00F03AF9"/>
    <w:rsid w:val="00F047E8"/>
    <w:rsid w:val="00F0581C"/>
    <w:rsid w:val="00F05912"/>
    <w:rsid w:val="00F05B72"/>
    <w:rsid w:val="00F05CC2"/>
    <w:rsid w:val="00F10037"/>
    <w:rsid w:val="00F1048C"/>
    <w:rsid w:val="00F10A1B"/>
    <w:rsid w:val="00F112D5"/>
    <w:rsid w:val="00F13A5A"/>
    <w:rsid w:val="00F155D2"/>
    <w:rsid w:val="00F15974"/>
    <w:rsid w:val="00F17489"/>
    <w:rsid w:val="00F206D9"/>
    <w:rsid w:val="00F23296"/>
    <w:rsid w:val="00F2426C"/>
    <w:rsid w:val="00F25B19"/>
    <w:rsid w:val="00F26B92"/>
    <w:rsid w:val="00F32FBC"/>
    <w:rsid w:val="00F33E9D"/>
    <w:rsid w:val="00F34BC8"/>
    <w:rsid w:val="00F40E1A"/>
    <w:rsid w:val="00F42C81"/>
    <w:rsid w:val="00F44692"/>
    <w:rsid w:val="00F509BB"/>
    <w:rsid w:val="00F50F9D"/>
    <w:rsid w:val="00F52C71"/>
    <w:rsid w:val="00F53256"/>
    <w:rsid w:val="00F542D6"/>
    <w:rsid w:val="00F5445A"/>
    <w:rsid w:val="00F5673F"/>
    <w:rsid w:val="00F56EF5"/>
    <w:rsid w:val="00F61970"/>
    <w:rsid w:val="00F61F38"/>
    <w:rsid w:val="00F624D7"/>
    <w:rsid w:val="00F6730B"/>
    <w:rsid w:val="00F70E61"/>
    <w:rsid w:val="00F70E8D"/>
    <w:rsid w:val="00F751DB"/>
    <w:rsid w:val="00F81A3A"/>
    <w:rsid w:val="00F838E3"/>
    <w:rsid w:val="00F87419"/>
    <w:rsid w:val="00F9120E"/>
    <w:rsid w:val="00F92754"/>
    <w:rsid w:val="00F92FF8"/>
    <w:rsid w:val="00F93385"/>
    <w:rsid w:val="00F97D7B"/>
    <w:rsid w:val="00FA1E63"/>
    <w:rsid w:val="00FA4C4C"/>
    <w:rsid w:val="00FB3D6F"/>
    <w:rsid w:val="00FB58B3"/>
    <w:rsid w:val="00FC1568"/>
    <w:rsid w:val="00FD4286"/>
    <w:rsid w:val="00FD481A"/>
    <w:rsid w:val="00FD6341"/>
    <w:rsid w:val="00FD6391"/>
    <w:rsid w:val="00FD6A3B"/>
    <w:rsid w:val="00FD6F01"/>
    <w:rsid w:val="00FE49DD"/>
    <w:rsid w:val="00FE5205"/>
    <w:rsid w:val="00FE6071"/>
    <w:rsid w:val="00FE6791"/>
    <w:rsid w:val="00FF0AD7"/>
    <w:rsid w:val="00FF2BB1"/>
    <w:rsid w:val="00FF379D"/>
    <w:rsid w:val="00FF462E"/>
    <w:rsid w:val="00FF4BCD"/>
    <w:rsid w:val="00FF4F23"/>
    <w:rsid w:val="00FF5658"/>
    <w:rsid w:val="00FF6255"/>
    <w:rsid w:val="00FF712D"/>
    <w:rsid w:val="00FF75F2"/>
    <w:rsid w:val="00FF7CAA"/>
    <w:rsid w:val="00FF7D48"/>
    <w:rsid w:val="00FF7ED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9F407E"/>
  <w15:docId w15:val="{E6976B0C-A4CE-41E0-8A83-CFE407B35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26E9"/>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uiPriority w:val="9"/>
    <w:semiHidden/>
    <w:unhideWhenUsed/>
    <w:qFormat/>
    <w:rsid w:val="005F4A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5F4A2A"/>
    <w:pPr>
      <w:keepNext/>
      <w:keepLines/>
      <w:spacing w:before="40"/>
      <w:outlineLvl w:val="2"/>
    </w:pPr>
    <w:rPr>
      <w:rFonts w:asciiTheme="majorHAnsi" w:eastAsiaTheme="majorEastAsia" w:hAnsiTheme="majorHAnsi" w:cstheme="majorBidi"/>
      <w:color w:val="1F4D78" w:themeColor="accent1" w:themeShade="7F"/>
    </w:rPr>
  </w:style>
  <w:style w:type="paragraph" w:styleId="Titolo5">
    <w:name w:val="heading 5"/>
    <w:basedOn w:val="Normale"/>
    <w:next w:val="Normale"/>
    <w:link w:val="Titolo5Carattere"/>
    <w:qFormat/>
    <w:rsid w:val="00D326E9"/>
    <w:pPr>
      <w:spacing w:before="240" w:after="60"/>
      <w:outlineLvl w:val="4"/>
    </w:pPr>
    <w:rPr>
      <w:rFonts w:ascii="Calibri" w:hAnsi="Calibri"/>
      <w:b/>
      <w:bCs/>
      <w:i/>
      <w:iCs/>
      <w:sz w:val="26"/>
      <w:szCs w:val="26"/>
    </w:rPr>
  </w:style>
  <w:style w:type="paragraph" w:styleId="Titolo6">
    <w:name w:val="heading 6"/>
    <w:basedOn w:val="Normale"/>
    <w:next w:val="Normale"/>
    <w:link w:val="Titolo6Carattere"/>
    <w:uiPriority w:val="9"/>
    <w:semiHidden/>
    <w:unhideWhenUsed/>
    <w:qFormat/>
    <w:rsid w:val="003B0315"/>
    <w:pPr>
      <w:keepNext/>
      <w:keepLines/>
      <w:spacing w:before="40"/>
      <w:outlineLvl w:val="5"/>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F1984"/>
    <w:pPr>
      <w:tabs>
        <w:tab w:val="center" w:pos="4819"/>
        <w:tab w:val="right" w:pos="9638"/>
      </w:tabs>
    </w:pPr>
  </w:style>
  <w:style w:type="character" w:customStyle="1" w:styleId="IntestazioneCarattere">
    <w:name w:val="Intestazione Carattere"/>
    <w:basedOn w:val="Carpredefinitoparagrafo"/>
    <w:link w:val="Intestazione"/>
    <w:uiPriority w:val="99"/>
    <w:rsid w:val="00DF1984"/>
  </w:style>
  <w:style w:type="paragraph" w:styleId="Corpotesto">
    <w:name w:val="Body Text"/>
    <w:basedOn w:val="Normale"/>
    <w:link w:val="CorpotestoCarattere"/>
    <w:uiPriority w:val="99"/>
    <w:unhideWhenUsed/>
    <w:rsid w:val="00DF1984"/>
    <w:pPr>
      <w:spacing w:after="120"/>
    </w:pPr>
  </w:style>
  <w:style w:type="character" w:customStyle="1" w:styleId="CorpotestoCarattere">
    <w:name w:val="Corpo testo Carattere"/>
    <w:basedOn w:val="Carpredefinitoparagrafo"/>
    <w:link w:val="Corpotesto"/>
    <w:uiPriority w:val="99"/>
    <w:rsid w:val="00DF1984"/>
  </w:style>
  <w:style w:type="paragraph" w:styleId="Pidipagina">
    <w:name w:val="footer"/>
    <w:basedOn w:val="Normale"/>
    <w:link w:val="PidipaginaCarattere"/>
    <w:uiPriority w:val="99"/>
    <w:unhideWhenUsed/>
    <w:rsid w:val="00DF1984"/>
    <w:pPr>
      <w:tabs>
        <w:tab w:val="center" w:pos="4819"/>
        <w:tab w:val="right" w:pos="9638"/>
      </w:tabs>
    </w:pPr>
  </w:style>
  <w:style w:type="character" w:customStyle="1" w:styleId="PidipaginaCarattere">
    <w:name w:val="Piè di pagina Carattere"/>
    <w:basedOn w:val="Carpredefinitoparagrafo"/>
    <w:link w:val="Pidipagina"/>
    <w:uiPriority w:val="99"/>
    <w:rsid w:val="00DF1984"/>
  </w:style>
  <w:style w:type="paragraph" w:styleId="Testofumetto">
    <w:name w:val="Balloon Text"/>
    <w:basedOn w:val="Normale"/>
    <w:link w:val="TestofumettoCarattere"/>
    <w:uiPriority w:val="99"/>
    <w:semiHidden/>
    <w:unhideWhenUsed/>
    <w:rsid w:val="006541F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541F1"/>
    <w:rPr>
      <w:rFonts w:ascii="Tahoma" w:hAnsi="Tahoma" w:cs="Tahoma"/>
      <w:sz w:val="16"/>
      <w:szCs w:val="16"/>
    </w:rPr>
  </w:style>
  <w:style w:type="paragraph" w:styleId="Rientrocorpodeltesto">
    <w:name w:val="Body Text Indent"/>
    <w:basedOn w:val="Normale"/>
    <w:link w:val="RientrocorpodeltestoCarattere"/>
    <w:rsid w:val="00F17489"/>
    <w:pPr>
      <w:spacing w:after="120"/>
      <w:ind w:left="283"/>
    </w:pPr>
    <w:rPr>
      <w:lang w:val="x-none" w:eastAsia="x-none"/>
    </w:rPr>
  </w:style>
  <w:style w:type="character" w:customStyle="1" w:styleId="RientrocorpodeltestoCarattere">
    <w:name w:val="Rientro corpo del testo Carattere"/>
    <w:basedOn w:val="Carpredefinitoparagrafo"/>
    <w:link w:val="Rientrocorpodeltesto"/>
    <w:rsid w:val="00F17489"/>
    <w:rPr>
      <w:rFonts w:ascii="Times New Roman" w:eastAsia="Times New Roman" w:hAnsi="Times New Roman" w:cs="Times New Roman"/>
      <w:sz w:val="24"/>
      <w:szCs w:val="24"/>
      <w:lang w:val="x-none" w:eastAsia="x-none"/>
    </w:rPr>
  </w:style>
  <w:style w:type="paragraph" w:styleId="Paragrafoelenco">
    <w:name w:val="List Paragraph"/>
    <w:aliases w:val="Elenco Puntato PIPPI"/>
    <w:basedOn w:val="Normale"/>
    <w:link w:val="ParagrafoelencoCarattere"/>
    <w:uiPriority w:val="34"/>
    <w:qFormat/>
    <w:rsid w:val="00E51D98"/>
    <w:pPr>
      <w:ind w:left="720"/>
      <w:contextualSpacing/>
    </w:pPr>
  </w:style>
  <w:style w:type="character" w:styleId="Rimandocommento">
    <w:name w:val="annotation reference"/>
    <w:basedOn w:val="Carpredefinitoparagrafo"/>
    <w:uiPriority w:val="99"/>
    <w:semiHidden/>
    <w:unhideWhenUsed/>
    <w:rsid w:val="007358D0"/>
    <w:rPr>
      <w:sz w:val="16"/>
      <w:szCs w:val="16"/>
    </w:rPr>
  </w:style>
  <w:style w:type="paragraph" w:styleId="Testocommento">
    <w:name w:val="annotation text"/>
    <w:basedOn w:val="Normale"/>
    <w:link w:val="TestocommentoCarattere"/>
    <w:uiPriority w:val="99"/>
    <w:unhideWhenUsed/>
    <w:qFormat/>
    <w:rsid w:val="007358D0"/>
    <w:rPr>
      <w:sz w:val="20"/>
      <w:szCs w:val="20"/>
    </w:rPr>
  </w:style>
  <w:style w:type="character" w:customStyle="1" w:styleId="TestocommentoCarattere">
    <w:name w:val="Testo commento Carattere"/>
    <w:basedOn w:val="Carpredefinitoparagrafo"/>
    <w:link w:val="Testocommento"/>
    <w:uiPriority w:val="99"/>
    <w:qFormat/>
    <w:rsid w:val="007358D0"/>
    <w:rPr>
      <w:sz w:val="20"/>
      <w:szCs w:val="20"/>
    </w:rPr>
  </w:style>
  <w:style w:type="paragraph" w:styleId="Soggettocommento">
    <w:name w:val="annotation subject"/>
    <w:basedOn w:val="Testocommento"/>
    <w:next w:val="Testocommento"/>
    <w:link w:val="SoggettocommentoCarattere"/>
    <w:uiPriority w:val="99"/>
    <w:semiHidden/>
    <w:unhideWhenUsed/>
    <w:rsid w:val="007358D0"/>
    <w:rPr>
      <w:b/>
      <w:bCs/>
    </w:rPr>
  </w:style>
  <w:style w:type="character" w:customStyle="1" w:styleId="SoggettocommentoCarattere">
    <w:name w:val="Soggetto commento Carattere"/>
    <w:basedOn w:val="TestocommentoCarattere"/>
    <w:link w:val="Soggettocommento"/>
    <w:uiPriority w:val="99"/>
    <w:semiHidden/>
    <w:rsid w:val="007358D0"/>
    <w:rPr>
      <w:b/>
      <w:bCs/>
      <w:sz w:val="20"/>
      <w:szCs w:val="20"/>
    </w:rPr>
  </w:style>
  <w:style w:type="character" w:styleId="Collegamentoipertestuale">
    <w:name w:val="Hyperlink"/>
    <w:basedOn w:val="Carpredefinitoparagrafo"/>
    <w:uiPriority w:val="99"/>
    <w:unhideWhenUsed/>
    <w:rsid w:val="002A3319"/>
    <w:rPr>
      <w:color w:val="0563C1" w:themeColor="hyperlink"/>
      <w:u w:val="single"/>
    </w:rPr>
  </w:style>
  <w:style w:type="character" w:customStyle="1" w:styleId="Menzionenonrisolta1">
    <w:name w:val="Menzione non risolta1"/>
    <w:basedOn w:val="Carpredefinitoparagrafo"/>
    <w:uiPriority w:val="99"/>
    <w:semiHidden/>
    <w:unhideWhenUsed/>
    <w:rsid w:val="002A3319"/>
    <w:rPr>
      <w:color w:val="605E5C"/>
      <w:shd w:val="clear" w:color="auto" w:fill="E1DFDD"/>
    </w:rPr>
  </w:style>
  <w:style w:type="character" w:customStyle="1" w:styleId="Titolo5Carattere">
    <w:name w:val="Titolo 5 Carattere"/>
    <w:basedOn w:val="Carpredefinitoparagrafo"/>
    <w:link w:val="Titolo5"/>
    <w:rsid w:val="00D326E9"/>
    <w:rPr>
      <w:rFonts w:ascii="Calibri" w:eastAsia="Times New Roman" w:hAnsi="Calibri" w:cs="Times New Roman"/>
      <w:b/>
      <w:bCs/>
      <w:i/>
      <w:iCs/>
      <w:sz w:val="26"/>
      <w:szCs w:val="26"/>
      <w:lang w:eastAsia="it-IT"/>
    </w:rPr>
  </w:style>
  <w:style w:type="paragraph" w:customStyle="1" w:styleId="Default">
    <w:name w:val="Default"/>
    <w:rsid w:val="00D326E9"/>
    <w:pPr>
      <w:autoSpaceDE w:val="0"/>
      <w:autoSpaceDN w:val="0"/>
      <w:adjustRightInd w:val="0"/>
      <w:spacing w:after="0" w:line="240" w:lineRule="auto"/>
    </w:pPr>
    <w:rPr>
      <w:rFonts w:ascii="Tahoma" w:eastAsia="Times New Roman" w:hAnsi="Tahoma" w:cs="Tahoma"/>
      <w:color w:val="000000"/>
      <w:sz w:val="24"/>
      <w:szCs w:val="24"/>
      <w:lang w:eastAsia="it-IT"/>
    </w:rPr>
  </w:style>
  <w:style w:type="character" w:customStyle="1" w:styleId="ParagrafoelencoCarattere">
    <w:name w:val="Paragrafo elenco Carattere"/>
    <w:aliases w:val="Elenco Puntato PIPPI Carattere"/>
    <w:link w:val="Paragrafoelenco"/>
    <w:uiPriority w:val="34"/>
    <w:rsid w:val="00D667C2"/>
    <w:rPr>
      <w:rFonts w:ascii="Times New Roman" w:eastAsia="Times New Roman" w:hAnsi="Times New Roman" w:cs="Times New Roman"/>
      <w:sz w:val="24"/>
      <w:szCs w:val="24"/>
      <w:lang w:eastAsia="it-IT"/>
    </w:rPr>
  </w:style>
  <w:style w:type="table" w:styleId="Grigliatabella">
    <w:name w:val="Table Grid"/>
    <w:basedOn w:val="Tabellanormale"/>
    <w:uiPriority w:val="59"/>
    <w:rsid w:val="00D501D8"/>
    <w:pPr>
      <w:numPr>
        <w:numId w:val="7"/>
      </w:numPr>
      <w:tabs>
        <w:tab w:val="num" w:pos="360"/>
      </w:tabs>
      <w:spacing w:after="0" w:line="240" w:lineRule="auto"/>
      <w:ind w:left="0" w:firstLine="0"/>
    </w:pPr>
    <w:rPr>
      <w:rFonts w:ascii="Calibri" w:eastAsia="Calibri" w:hAnsi="Calibri" w:cs="Calibri"/>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D501D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D50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6Carattere">
    <w:name w:val="Titolo 6 Carattere"/>
    <w:basedOn w:val="Carpredefinitoparagrafo"/>
    <w:link w:val="Titolo6"/>
    <w:uiPriority w:val="9"/>
    <w:semiHidden/>
    <w:rsid w:val="003B0315"/>
    <w:rPr>
      <w:rFonts w:asciiTheme="majorHAnsi" w:eastAsiaTheme="majorEastAsia" w:hAnsiTheme="majorHAnsi" w:cstheme="majorBidi"/>
      <w:color w:val="1F4D78" w:themeColor="accent1" w:themeShade="7F"/>
      <w:sz w:val="24"/>
      <w:szCs w:val="24"/>
      <w:lang w:eastAsia="it-IT"/>
    </w:rPr>
  </w:style>
  <w:style w:type="paragraph" w:customStyle="1" w:styleId="decreto">
    <w:name w:val="decreto"/>
    <w:basedOn w:val="Normale"/>
    <w:rsid w:val="003B0315"/>
    <w:pPr>
      <w:spacing w:after="120" w:line="360" w:lineRule="auto"/>
      <w:ind w:left="851" w:hanging="851"/>
      <w:jc w:val="both"/>
    </w:pPr>
    <w:rPr>
      <w:szCs w:val="20"/>
    </w:rPr>
  </w:style>
  <w:style w:type="character" w:customStyle="1" w:styleId="linkneltesto">
    <w:name w:val="link_nel_testo"/>
    <w:basedOn w:val="Carpredefinitoparagrafo"/>
    <w:rsid w:val="003B0315"/>
    <w:rPr>
      <w:i/>
      <w:iCs/>
    </w:rPr>
  </w:style>
  <w:style w:type="table" w:customStyle="1" w:styleId="Grigliatabella3">
    <w:name w:val="Griglia tabella3"/>
    <w:basedOn w:val="Tabellanormale"/>
    <w:next w:val="Grigliatabella"/>
    <w:uiPriority w:val="59"/>
    <w:rsid w:val="00800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semiHidden/>
    <w:rsid w:val="005F4A2A"/>
    <w:rPr>
      <w:rFonts w:asciiTheme="majorHAnsi" w:eastAsiaTheme="majorEastAsia" w:hAnsiTheme="majorHAnsi" w:cstheme="majorBidi"/>
      <w:color w:val="2E74B5" w:themeColor="accent1" w:themeShade="BF"/>
      <w:sz w:val="26"/>
      <w:szCs w:val="26"/>
      <w:lang w:eastAsia="it-IT"/>
    </w:rPr>
  </w:style>
  <w:style w:type="character" w:customStyle="1" w:styleId="Titolo3Carattere">
    <w:name w:val="Titolo 3 Carattere"/>
    <w:basedOn w:val="Carpredefinitoparagrafo"/>
    <w:link w:val="Titolo3"/>
    <w:uiPriority w:val="9"/>
    <w:semiHidden/>
    <w:rsid w:val="005F4A2A"/>
    <w:rPr>
      <w:rFonts w:asciiTheme="majorHAnsi" w:eastAsiaTheme="majorEastAsia" w:hAnsiTheme="majorHAnsi" w:cstheme="majorBidi"/>
      <w:color w:val="1F4D78" w:themeColor="accent1" w:themeShade="7F"/>
      <w:sz w:val="24"/>
      <w:szCs w:val="24"/>
      <w:lang w:eastAsia="it-IT"/>
    </w:rPr>
  </w:style>
  <w:style w:type="character" w:styleId="Menzionenonrisolta">
    <w:name w:val="Unresolved Mention"/>
    <w:basedOn w:val="Carpredefinitoparagrafo"/>
    <w:uiPriority w:val="99"/>
    <w:semiHidden/>
    <w:unhideWhenUsed/>
    <w:rsid w:val="005B1A3E"/>
    <w:rPr>
      <w:color w:val="605E5C"/>
      <w:shd w:val="clear" w:color="auto" w:fill="E1DFDD"/>
    </w:rPr>
  </w:style>
  <w:style w:type="paragraph" w:styleId="Revisione">
    <w:name w:val="Revision"/>
    <w:hidden/>
    <w:uiPriority w:val="99"/>
    <w:semiHidden/>
    <w:rsid w:val="00CD7A7B"/>
    <w:pPr>
      <w:spacing w:after="0" w:line="240" w:lineRule="auto"/>
    </w:pPr>
    <w:rPr>
      <w:rFonts w:ascii="Times New Roman" w:eastAsia="Times New Roman" w:hAnsi="Times New Roman" w:cs="Times New Roman"/>
      <w:sz w:val="24"/>
      <w:szCs w:val="24"/>
      <w:lang w:eastAsia="it-IT"/>
    </w:rPr>
  </w:style>
  <w:style w:type="paragraph" w:styleId="PreformattatoHTML">
    <w:name w:val="HTML Preformatted"/>
    <w:basedOn w:val="Normale"/>
    <w:link w:val="PreformattatoHTMLCarattere"/>
    <w:uiPriority w:val="99"/>
    <w:semiHidden/>
    <w:unhideWhenUsed/>
    <w:rsid w:val="00881745"/>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881745"/>
    <w:rPr>
      <w:rFonts w:ascii="Consolas" w:eastAsia="Times New Roman" w:hAnsi="Consolas" w:cs="Times New Roman"/>
      <w:sz w:val="20"/>
      <w:szCs w:val="20"/>
      <w:lang w:eastAsia="it-IT"/>
    </w:rPr>
  </w:style>
  <w:style w:type="table" w:customStyle="1" w:styleId="Grigliatabella31">
    <w:name w:val="Griglia tabella31"/>
    <w:basedOn w:val="Tabellanormale"/>
    <w:uiPriority w:val="59"/>
    <w:rsid w:val="00AF70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59350">
      <w:bodyDiv w:val="1"/>
      <w:marLeft w:val="0"/>
      <w:marRight w:val="0"/>
      <w:marTop w:val="0"/>
      <w:marBottom w:val="0"/>
      <w:divBdr>
        <w:top w:val="none" w:sz="0" w:space="0" w:color="auto"/>
        <w:left w:val="none" w:sz="0" w:space="0" w:color="auto"/>
        <w:bottom w:val="none" w:sz="0" w:space="0" w:color="auto"/>
        <w:right w:val="none" w:sz="0" w:space="0" w:color="auto"/>
      </w:divBdr>
    </w:div>
    <w:div w:id="107358029">
      <w:bodyDiv w:val="1"/>
      <w:marLeft w:val="0"/>
      <w:marRight w:val="0"/>
      <w:marTop w:val="0"/>
      <w:marBottom w:val="0"/>
      <w:divBdr>
        <w:top w:val="none" w:sz="0" w:space="0" w:color="auto"/>
        <w:left w:val="none" w:sz="0" w:space="0" w:color="auto"/>
        <w:bottom w:val="none" w:sz="0" w:space="0" w:color="auto"/>
        <w:right w:val="none" w:sz="0" w:space="0" w:color="auto"/>
      </w:divBdr>
    </w:div>
    <w:div w:id="182864538">
      <w:bodyDiv w:val="1"/>
      <w:marLeft w:val="0"/>
      <w:marRight w:val="0"/>
      <w:marTop w:val="0"/>
      <w:marBottom w:val="0"/>
      <w:divBdr>
        <w:top w:val="none" w:sz="0" w:space="0" w:color="auto"/>
        <w:left w:val="none" w:sz="0" w:space="0" w:color="auto"/>
        <w:bottom w:val="none" w:sz="0" w:space="0" w:color="auto"/>
        <w:right w:val="none" w:sz="0" w:space="0" w:color="auto"/>
      </w:divBdr>
    </w:div>
    <w:div w:id="244801334">
      <w:bodyDiv w:val="1"/>
      <w:marLeft w:val="0"/>
      <w:marRight w:val="0"/>
      <w:marTop w:val="0"/>
      <w:marBottom w:val="0"/>
      <w:divBdr>
        <w:top w:val="none" w:sz="0" w:space="0" w:color="auto"/>
        <w:left w:val="none" w:sz="0" w:space="0" w:color="auto"/>
        <w:bottom w:val="none" w:sz="0" w:space="0" w:color="auto"/>
        <w:right w:val="none" w:sz="0" w:space="0" w:color="auto"/>
      </w:divBdr>
    </w:div>
    <w:div w:id="282350399">
      <w:bodyDiv w:val="1"/>
      <w:marLeft w:val="0"/>
      <w:marRight w:val="0"/>
      <w:marTop w:val="0"/>
      <w:marBottom w:val="0"/>
      <w:divBdr>
        <w:top w:val="none" w:sz="0" w:space="0" w:color="auto"/>
        <w:left w:val="none" w:sz="0" w:space="0" w:color="auto"/>
        <w:bottom w:val="none" w:sz="0" w:space="0" w:color="auto"/>
        <w:right w:val="none" w:sz="0" w:space="0" w:color="auto"/>
      </w:divBdr>
    </w:div>
    <w:div w:id="329259956">
      <w:bodyDiv w:val="1"/>
      <w:marLeft w:val="0"/>
      <w:marRight w:val="0"/>
      <w:marTop w:val="0"/>
      <w:marBottom w:val="0"/>
      <w:divBdr>
        <w:top w:val="none" w:sz="0" w:space="0" w:color="auto"/>
        <w:left w:val="none" w:sz="0" w:space="0" w:color="auto"/>
        <w:bottom w:val="none" w:sz="0" w:space="0" w:color="auto"/>
        <w:right w:val="none" w:sz="0" w:space="0" w:color="auto"/>
      </w:divBdr>
    </w:div>
    <w:div w:id="384375585">
      <w:bodyDiv w:val="1"/>
      <w:marLeft w:val="0"/>
      <w:marRight w:val="0"/>
      <w:marTop w:val="0"/>
      <w:marBottom w:val="0"/>
      <w:divBdr>
        <w:top w:val="none" w:sz="0" w:space="0" w:color="auto"/>
        <w:left w:val="none" w:sz="0" w:space="0" w:color="auto"/>
        <w:bottom w:val="none" w:sz="0" w:space="0" w:color="auto"/>
        <w:right w:val="none" w:sz="0" w:space="0" w:color="auto"/>
      </w:divBdr>
    </w:div>
    <w:div w:id="396324609">
      <w:bodyDiv w:val="1"/>
      <w:marLeft w:val="0"/>
      <w:marRight w:val="0"/>
      <w:marTop w:val="0"/>
      <w:marBottom w:val="0"/>
      <w:divBdr>
        <w:top w:val="none" w:sz="0" w:space="0" w:color="auto"/>
        <w:left w:val="none" w:sz="0" w:space="0" w:color="auto"/>
        <w:bottom w:val="none" w:sz="0" w:space="0" w:color="auto"/>
        <w:right w:val="none" w:sz="0" w:space="0" w:color="auto"/>
      </w:divBdr>
    </w:div>
    <w:div w:id="404689254">
      <w:bodyDiv w:val="1"/>
      <w:marLeft w:val="0"/>
      <w:marRight w:val="0"/>
      <w:marTop w:val="0"/>
      <w:marBottom w:val="0"/>
      <w:divBdr>
        <w:top w:val="none" w:sz="0" w:space="0" w:color="auto"/>
        <w:left w:val="none" w:sz="0" w:space="0" w:color="auto"/>
        <w:bottom w:val="none" w:sz="0" w:space="0" w:color="auto"/>
        <w:right w:val="none" w:sz="0" w:space="0" w:color="auto"/>
      </w:divBdr>
    </w:div>
    <w:div w:id="427820047">
      <w:bodyDiv w:val="1"/>
      <w:marLeft w:val="0"/>
      <w:marRight w:val="0"/>
      <w:marTop w:val="0"/>
      <w:marBottom w:val="0"/>
      <w:divBdr>
        <w:top w:val="none" w:sz="0" w:space="0" w:color="auto"/>
        <w:left w:val="none" w:sz="0" w:space="0" w:color="auto"/>
        <w:bottom w:val="none" w:sz="0" w:space="0" w:color="auto"/>
        <w:right w:val="none" w:sz="0" w:space="0" w:color="auto"/>
      </w:divBdr>
    </w:div>
    <w:div w:id="508443297">
      <w:bodyDiv w:val="1"/>
      <w:marLeft w:val="0"/>
      <w:marRight w:val="0"/>
      <w:marTop w:val="0"/>
      <w:marBottom w:val="0"/>
      <w:divBdr>
        <w:top w:val="none" w:sz="0" w:space="0" w:color="auto"/>
        <w:left w:val="none" w:sz="0" w:space="0" w:color="auto"/>
        <w:bottom w:val="none" w:sz="0" w:space="0" w:color="auto"/>
        <w:right w:val="none" w:sz="0" w:space="0" w:color="auto"/>
      </w:divBdr>
    </w:div>
    <w:div w:id="519202352">
      <w:bodyDiv w:val="1"/>
      <w:marLeft w:val="0"/>
      <w:marRight w:val="0"/>
      <w:marTop w:val="0"/>
      <w:marBottom w:val="0"/>
      <w:divBdr>
        <w:top w:val="none" w:sz="0" w:space="0" w:color="auto"/>
        <w:left w:val="none" w:sz="0" w:space="0" w:color="auto"/>
        <w:bottom w:val="none" w:sz="0" w:space="0" w:color="auto"/>
        <w:right w:val="none" w:sz="0" w:space="0" w:color="auto"/>
      </w:divBdr>
    </w:div>
    <w:div w:id="526649874">
      <w:bodyDiv w:val="1"/>
      <w:marLeft w:val="0"/>
      <w:marRight w:val="0"/>
      <w:marTop w:val="0"/>
      <w:marBottom w:val="0"/>
      <w:divBdr>
        <w:top w:val="none" w:sz="0" w:space="0" w:color="auto"/>
        <w:left w:val="none" w:sz="0" w:space="0" w:color="auto"/>
        <w:bottom w:val="none" w:sz="0" w:space="0" w:color="auto"/>
        <w:right w:val="none" w:sz="0" w:space="0" w:color="auto"/>
      </w:divBdr>
    </w:div>
    <w:div w:id="564991408">
      <w:bodyDiv w:val="1"/>
      <w:marLeft w:val="0"/>
      <w:marRight w:val="0"/>
      <w:marTop w:val="0"/>
      <w:marBottom w:val="0"/>
      <w:divBdr>
        <w:top w:val="none" w:sz="0" w:space="0" w:color="auto"/>
        <w:left w:val="none" w:sz="0" w:space="0" w:color="auto"/>
        <w:bottom w:val="none" w:sz="0" w:space="0" w:color="auto"/>
        <w:right w:val="none" w:sz="0" w:space="0" w:color="auto"/>
      </w:divBdr>
    </w:div>
    <w:div w:id="571543103">
      <w:bodyDiv w:val="1"/>
      <w:marLeft w:val="0"/>
      <w:marRight w:val="0"/>
      <w:marTop w:val="0"/>
      <w:marBottom w:val="0"/>
      <w:divBdr>
        <w:top w:val="none" w:sz="0" w:space="0" w:color="auto"/>
        <w:left w:val="none" w:sz="0" w:space="0" w:color="auto"/>
        <w:bottom w:val="none" w:sz="0" w:space="0" w:color="auto"/>
        <w:right w:val="none" w:sz="0" w:space="0" w:color="auto"/>
      </w:divBdr>
    </w:div>
    <w:div w:id="613026062">
      <w:bodyDiv w:val="1"/>
      <w:marLeft w:val="0"/>
      <w:marRight w:val="0"/>
      <w:marTop w:val="0"/>
      <w:marBottom w:val="0"/>
      <w:divBdr>
        <w:top w:val="none" w:sz="0" w:space="0" w:color="auto"/>
        <w:left w:val="none" w:sz="0" w:space="0" w:color="auto"/>
        <w:bottom w:val="none" w:sz="0" w:space="0" w:color="auto"/>
        <w:right w:val="none" w:sz="0" w:space="0" w:color="auto"/>
      </w:divBdr>
    </w:div>
    <w:div w:id="638612212">
      <w:bodyDiv w:val="1"/>
      <w:marLeft w:val="0"/>
      <w:marRight w:val="0"/>
      <w:marTop w:val="0"/>
      <w:marBottom w:val="0"/>
      <w:divBdr>
        <w:top w:val="none" w:sz="0" w:space="0" w:color="auto"/>
        <w:left w:val="none" w:sz="0" w:space="0" w:color="auto"/>
        <w:bottom w:val="none" w:sz="0" w:space="0" w:color="auto"/>
        <w:right w:val="none" w:sz="0" w:space="0" w:color="auto"/>
      </w:divBdr>
    </w:div>
    <w:div w:id="756754437">
      <w:bodyDiv w:val="1"/>
      <w:marLeft w:val="0"/>
      <w:marRight w:val="0"/>
      <w:marTop w:val="0"/>
      <w:marBottom w:val="0"/>
      <w:divBdr>
        <w:top w:val="none" w:sz="0" w:space="0" w:color="auto"/>
        <w:left w:val="none" w:sz="0" w:space="0" w:color="auto"/>
        <w:bottom w:val="none" w:sz="0" w:space="0" w:color="auto"/>
        <w:right w:val="none" w:sz="0" w:space="0" w:color="auto"/>
      </w:divBdr>
    </w:div>
    <w:div w:id="829835472">
      <w:bodyDiv w:val="1"/>
      <w:marLeft w:val="0"/>
      <w:marRight w:val="0"/>
      <w:marTop w:val="0"/>
      <w:marBottom w:val="0"/>
      <w:divBdr>
        <w:top w:val="none" w:sz="0" w:space="0" w:color="auto"/>
        <w:left w:val="none" w:sz="0" w:space="0" w:color="auto"/>
        <w:bottom w:val="none" w:sz="0" w:space="0" w:color="auto"/>
        <w:right w:val="none" w:sz="0" w:space="0" w:color="auto"/>
      </w:divBdr>
    </w:div>
    <w:div w:id="845677565">
      <w:bodyDiv w:val="1"/>
      <w:marLeft w:val="0"/>
      <w:marRight w:val="0"/>
      <w:marTop w:val="0"/>
      <w:marBottom w:val="0"/>
      <w:divBdr>
        <w:top w:val="none" w:sz="0" w:space="0" w:color="auto"/>
        <w:left w:val="none" w:sz="0" w:space="0" w:color="auto"/>
        <w:bottom w:val="none" w:sz="0" w:space="0" w:color="auto"/>
        <w:right w:val="none" w:sz="0" w:space="0" w:color="auto"/>
      </w:divBdr>
    </w:div>
    <w:div w:id="921372254">
      <w:bodyDiv w:val="1"/>
      <w:marLeft w:val="0"/>
      <w:marRight w:val="0"/>
      <w:marTop w:val="0"/>
      <w:marBottom w:val="0"/>
      <w:divBdr>
        <w:top w:val="none" w:sz="0" w:space="0" w:color="auto"/>
        <w:left w:val="none" w:sz="0" w:space="0" w:color="auto"/>
        <w:bottom w:val="none" w:sz="0" w:space="0" w:color="auto"/>
        <w:right w:val="none" w:sz="0" w:space="0" w:color="auto"/>
      </w:divBdr>
    </w:div>
    <w:div w:id="938101725">
      <w:bodyDiv w:val="1"/>
      <w:marLeft w:val="0"/>
      <w:marRight w:val="0"/>
      <w:marTop w:val="0"/>
      <w:marBottom w:val="0"/>
      <w:divBdr>
        <w:top w:val="none" w:sz="0" w:space="0" w:color="auto"/>
        <w:left w:val="none" w:sz="0" w:space="0" w:color="auto"/>
        <w:bottom w:val="none" w:sz="0" w:space="0" w:color="auto"/>
        <w:right w:val="none" w:sz="0" w:space="0" w:color="auto"/>
      </w:divBdr>
    </w:div>
    <w:div w:id="964117909">
      <w:bodyDiv w:val="1"/>
      <w:marLeft w:val="0"/>
      <w:marRight w:val="0"/>
      <w:marTop w:val="0"/>
      <w:marBottom w:val="0"/>
      <w:divBdr>
        <w:top w:val="none" w:sz="0" w:space="0" w:color="auto"/>
        <w:left w:val="none" w:sz="0" w:space="0" w:color="auto"/>
        <w:bottom w:val="none" w:sz="0" w:space="0" w:color="auto"/>
        <w:right w:val="none" w:sz="0" w:space="0" w:color="auto"/>
      </w:divBdr>
    </w:div>
    <w:div w:id="1042942693">
      <w:bodyDiv w:val="1"/>
      <w:marLeft w:val="0"/>
      <w:marRight w:val="0"/>
      <w:marTop w:val="0"/>
      <w:marBottom w:val="0"/>
      <w:divBdr>
        <w:top w:val="none" w:sz="0" w:space="0" w:color="auto"/>
        <w:left w:val="none" w:sz="0" w:space="0" w:color="auto"/>
        <w:bottom w:val="none" w:sz="0" w:space="0" w:color="auto"/>
        <w:right w:val="none" w:sz="0" w:space="0" w:color="auto"/>
      </w:divBdr>
    </w:div>
    <w:div w:id="1057240397">
      <w:bodyDiv w:val="1"/>
      <w:marLeft w:val="0"/>
      <w:marRight w:val="0"/>
      <w:marTop w:val="0"/>
      <w:marBottom w:val="0"/>
      <w:divBdr>
        <w:top w:val="none" w:sz="0" w:space="0" w:color="auto"/>
        <w:left w:val="none" w:sz="0" w:space="0" w:color="auto"/>
        <w:bottom w:val="none" w:sz="0" w:space="0" w:color="auto"/>
        <w:right w:val="none" w:sz="0" w:space="0" w:color="auto"/>
      </w:divBdr>
    </w:div>
    <w:div w:id="1073819719">
      <w:bodyDiv w:val="1"/>
      <w:marLeft w:val="0"/>
      <w:marRight w:val="0"/>
      <w:marTop w:val="0"/>
      <w:marBottom w:val="0"/>
      <w:divBdr>
        <w:top w:val="none" w:sz="0" w:space="0" w:color="auto"/>
        <w:left w:val="none" w:sz="0" w:space="0" w:color="auto"/>
        <w:bottom w:val="none" w:sz="0" w:space="0" w:color="auto"/>
        <w:right w:val="none" w:sz="0" w:space="0" w:color="auto"/>
      </w:divBdr>
    </w:div>
    <w:div w:id="1126507586">
      <w:bodyDiv w:val="1"/>
      <w:marLeft w:val="0"/>
      <w:marRight w:val="0"/>
      <w:marTop w:val="0"/>
      <w:marBottom w:val="0"/>
      <w:divBdr>
        <w:top w:val="none" w:sz="0" w:space="0" w:color="auto"/>
        <w:left w:val="none" w:sz="0" w:space="0" w:color="auto"/>
        <w:bottom w:val="none" w:sz="0" w:space="0" w:color="auto"/>
        <w:right w:val="none" w:sz="0" w:space="0" w:color="auto"/>
      </w:divBdr>
    </w:div>
    <w:div w:id="1163277792">
      <w:bodyDiv w:val="1"/>
      <w:marLeft w:val="0"/>
      <w:marRight w:val="0"/>
      <w:marTop w:val="0"/>
      <w:marBottom w:val="0"/>
      <w:divBdr>
        <w:top w:val="none" w:sz="0" w:space="0" w:color="auto"/>
        <w:left w:val="none" w:sz="0" w:space="0" w:color="auto"/>
        <w:bottom w:val="none" w:sz="0" w:space="0" w:color="auto"/>
        <w:right w:val="none" w:sz="0" w:space="0" w:color="auto"/>
      </w:divBdr>
    </w:div>
    <w:div w:id="1163886402">
      <w:bodyDiv w:val="1"/>
      <w:marLeft w:val="0"/>
      <w:marRight w:val="0"/>
      <w:marTop w:val="0"/>
      <w:marBottom w:val="0"/>
      <w:divBdr>
        <w:top w:val="none" w:sz="0" w:space="0" w:color="auto"/>
        <w:left w:val="none" w:sz="0" w:space="0" w:color="auto"/>
        <w:bottom w:val="none" w:sz="0" w:space="0" w:color="auto"/>
        <w:right w:val="none" w:sz="0" w:space="0" w:color="auto"/>
      </w:divBdr>
    </w:div>
    <w:div w:id="1172454201">
      <w:bodyDiv w:val="1"/>
      <w:marLeft w:val="0"/>
      <w:marRight w:val="0"/>
      <w:marTop w:val="0"/>
      <w:marBottom w:val="0"/>
      <w:divBdr>
        <w:top w:val="none" w:sz="0" w:space="0" w:color="auto"/>
        <w:left w:val="none" w:sz="0" w:space="0" w:color="auto"/>
        <w:bottom w:val="none" w:sz="0" w:space="0" w:color="auto"/>
        <w:right w:val="none" w:sz="0" w:space="0" w:color="auto"/>
      </w:divBdr>
    </w:div>
    <w:div w:id="1212577602">
      <w:bodyDiv w:val="1"/>
      <w:marLeft w:val="0"/>
      <w:marRight w:val="0"/>
      <w:marTop w:val="0"/>
      <w:marBottom w:val="0"/>
      <w:divBdr>
        <w:top w:val="none" w:sz="0" w:space="0" w:color="auto"/>
        <w:left w:val="none" w:sz="0" w:space="0" w:color="auto"/>
        <w:bottom w:val="none" w:sz="0" w:space="0" w:color="auto"/>
        <w:right w:val="none" w:sz="0" w:space="0" w:color="auto"/>
      </w:divBdr>
    </w:div>
    <w:div w:id="1256984415">
      <w:bodyDiv w:val="1"/>
      <w:marLeft w:val="0"/>
      <w:marRight w:val="0"/>
      <w:marTop w:val="0"/>
      <w:marBottom w:val="0"/>
      <w:divBdr>
        <w:top w:val="none" w:sz="0" w:space="0" w:color="auto"/>
        <w:left w:val="none" w:sz="0" w:space="0" w:color="auto"/>
        <w:bottom w:val="none" w:sz="0" w:space="0" w:color="auto"/>
        <w:right w:val="none" w:sz="0" w:space="0" w:color="auto"/>
      </w:divBdr>
    </w:div>
    <w:div w:id="1322735331">
      <w:bodyDiv w:val="1"/>
      <w:marLeft w:val="0"/>
      <w:marRight w:val="0"/>
      <w:marTop w:val="0"/>
      <w:marBottom w:val="0"/>
      <w:divBdr>
        <w:top w:val="none" w:sz="0" w:space="0" w:color="auto"/>
        <w:left w:val="none" w:sz="0" w:space="0" w:color="auto"/>
        <w:bottom w:val="none" w:sz="0" w:space="0" w:color="auto"/>
        <w:right w:val="none" w:sz="0" w:space="0" w:color="auto"/>
      </w:divBdr>
    </w:div>
    <w:div w:id="1349258316">
      <w:bodyDiv w:val="1"/>
      <w:marLeft w:val="0"/>
      <w:marRight w:val="0"/>
      <w:marTop w:val="0"/>
      <w:marBottom w:val="0"/>
      <w:divBdr>
        <w:top w:val="none" w:sz="0" w:space="0" w:color="auto"/>
        <w:left w:val="none" w:sz="0" w:space="0" w:color="auto"/>
        <w:bottom w:val="none" w:sz="0" w:space="0" w:color="auto"/>
        <w:right w:val="none" w:sz="0" w:space="0" w:color="auto"/>
      </w:divBdr>
    </w:div>
    <w:div w:id="1466972181">
      <w:bodyDiv w:val="1"/>
      <w:marLeft w:val="0"/>
      <w:marRight w:val="0"/>
      <w:marTop w:val="0"/>
      <w:marBottom w:val="0"/>
      <w:divBdr>
        <w:top w:val="none" w:sz="0" w:space="0" w:color="auto"/>
        <w:left w:val="none" w:sz="0" w:space="0" w:color="auto"/>
        <w:bottom w:val="none" w:sz="0" w:space="0" w:color="auto"/>
        <w:right w:val="none" w:sz="0" w:space="0" w:color="auto"/>
      </w:divBdr>
    </w:div>
    <w:div w:id="1492137902">
      <w:bodyDiv w:val="1"/>
      <w:marLeft w:val="0"/>
      <w:marRight w:val="0"/>
      <w:marTop w:val="0"/>
      <w:marBottom w:val="0"/>
      <w:divBdr>
        <w:top w:val="none" w:sz="0" w:space="0" w:color="auto"/>
        <w:left w:val="none" w:sz="0" w:space="0" w:color="auto"/>
        <w:bottom w:val="none" w:sz="0" w:space="0" w:color="auto"/>
        <w:right w:val="none" w:sz="0" w:space="0" w:color="auto"/>
      </w:divBdr>
      <w:divsChild>
        <w:div w:id="425809641">
          <w:marLeft w:val="0"/>
          <w:marRight w:val="0"/>
          <w:marTop w:val="0"/>
          <w:marBottom w:val="0"/>
          <w:divBdr>
            <w:top w:val="none" w:sz="0" w:space="0" w:color="auto"/>
            <w:left w:val="none" w:sz="0" w:space="0" w:color="auto"/>
            <w:bottom w:val="none" w:sz="0" w:space="0" w:color="auto"/>
            <w:right w:val="none" w:sz="0" w:space="0" w:color="auto"/>
          </w:divBdr>
        </w:div>
      </w:divsChild>
    </w:div>
    <w:div w:id="1508517015">
      <w:bodyDiv w:val="1"/>
      <w:marLeft w:val="0"/>
      <w:marRight w:val="0"/>
      <w:marTop w:val="0"/>
      <w:marBottom w:val="0"/>
      <w:divBdr>
        <w:top w:val="none" w:sz="0" w:space="0" w:color="auto"/>
        <w:left w:val="none" w:sz="0" w:space="0" w:color="auto"/>
        <w:bottom w:val="none" w:sz="0" w:space="0" w:color="auto"/>
        <w:right w:val="none" w:sz="0" w:space="0" w:color="auto"/>
      </w:divBdr>
    </w:div>
    <w:div w:id="1513496703">
      <w:bodyDiv w:val="1"/>
      <w:marLeft w:val="0"/>
      <w:marRight w:val="0"/>
      <w:marTop w:val="0"/>
      <w:marBottom w:val="0"/>
      <w:divBdr>
        <w:top w:val="none" w:sz="0" w:space="0" w:color="auto"/>
        <w:left w:val="none" w:sz="0" w:space="0" w:color="auto"/>
        <w:bottom w:val="none" w:sz="0" w:space="0" w:color="auto"/>
        <w:right w:val="none" w:sz="0" w:space="0" w:color="auto"/>
      </w:divBdr>
    </w:div>
    <w:div w:id="1540820909">
      <w:bodyDiv w:val="1"/>
      <w:marLeft w:val="0"/>
      <w:marRight w:val="0"/>
      <w:marTop w:val="0"/>
      <w:marBottom w:val="0"/>
      <w:divBdr>
        <w:top w:val="none" w:sz="0" w:space="0" w:color="auto"/>
        <w:left w:val="none" w:sz="0" w:space="0" w:color="auto"/>
        <w:bottom w:val="none" w:sz="0" w:space="0" w:color="auto"/>
        <w:right w:val="none" w:sz="0" w:space="0" w:color="auto"/>
      </w:divBdr>
    </w:div>
    <w:div w:id="1549948126">
      <w:bodyDiv w:val="1"/>
      <w:marLeft w:val="0"/>
      <w:marRight w:val="0"/>
      <w:marTop w:val="0"/>
      <w:marBottom w:val="0"/>
      <w:divBdr>
        <w:top w:val="none" w:sz="0" w:space="0" w:color="auto"/>
        <w:left w:val="none" w:sz="0" w:space="0" w:color="auto"/>
        <w:bottom w:val="none" w:sz="0" w:space="0" w:color="auto"/>
        <w:right w:val="none" w:sz="0" w:space="0" w:color="auto"/>
      </w:divBdr>
    </w:div>
    <w:div w:id="1603957585">
      <w:bodyDiv w:val="1"/>
      <w:marLeft w:val="0"/>
      <w:marRight w:val="0"/>
      <w:marTop w:val="0"/>
      <w:marBottom w:val="0"/>
      <w:divBdr>
        <w:top w:val="none" w:sz="0" w:space="0" w:color="auto"/>
        <w:left w:val="none" w:sz="0" w:space="0" w:color="auto"/>
        <w:bottom w:val="none" w:sz="0" w:space="0" w:color="auto"/>
        <w:right w:val="none" w:sz="0" w:space="0" w:color="auto"/>
      </w:divBdr>
    </w:div>
    <w:div w:id="1617102676">
      <w:bodyDiv w:val="1"/>
      <w:marLeft w:val="0"/>
      <w:marRight w:val="0"/>
      <w:marTop w:val="0"/>
      <w:marBottom w:val="0"/>
      <w:divBdr>
        <w:top w:val="none" w:sz="0" w:space="0" w:color="auto"/>
        <w:left w:val="none" w:sz="0" w:space="0" w:color="auto"/>
        <w:bottom w:val="none" w:sz="0" w:space="0" w:color="auto"/>
        <w:right w:val="none" w:sz="0" w:space="0" w:color="auto"/>
      </w:divBdr>
    </w:div>
    <w:div w:id="1682706013">
      <w:bodyDiv w:val="1"/>
      <w:marLeft w:val="0"/>
      <w:marRight w:val="0"/>
      <w:marTop w:val="0"/>
      <w:marBottom w:val="0"/>
      <w:divBdr>
        <w:top w:val="none" w:sz="0" w:space="0" w:color="auto"/>
        <w:left w:val="none" w:sz="0" w:space="0" w:color="auto"/>
        <w:bottom w:val="none" w:sz="0" w:space="0" w:color="auto"/>
        <w:right w:val="none" w:sz="0" w:space="0" w:color="auto"/>
      </w:divBdr>
    </w:div>
    <w:div w:id="1717317675">
      <w:bodyDiv w:val="1"/>
      <w:marLeft w:val="0"/>
      <w:marRight w:val="0"/>
      <w:marTop w:val="0"/>
      <w:marBottom w:val="0"/>
      <w:divBdr>
        <w:top w:val="none" w:sz="0" w:space="0" w:color="auto"/>
        <w:left w:val="none" w:sz="0" w:space="0" w:color="auto"/>
        <w:bottom w:val="none" w:sz="0" w:space="0" w:color="auto"/>
        <w:right w:val="none" w:sz="0" w:space="0" w:color="auto"/>
      </w:divBdr>
    </w:div>
    <w:div w:id="1751923934">
      <w:bodyDiv w:val="1"/>
      <w:marLeft w:val="0"/>
      <w:marRight w:val="0"/>
      <w:marTop w:val="0"/>
      <w:marBottom w:val="0"/>
      <w:divBdr>
        <w:top w:val="none" w:sz="0" w:space="0" w:color="auto"/>
        <w:left w:val="none" w:sz="0" w:space="0" w:color="auto"/>
        <w:bottom w:val="none" w:sz="0" w:space="0" w:color="auto"/>
        <w:right w:val="none" w:sz="0" w:space="0" w:color="auto"/>
      </w:divBdr>
    </w:div>
    <w:div w:id="1779452154">
      <w:bodyDiv w:val="1"/>
      <w:marLeft w:val="0"/>
      <w:marRight w:val="0"/>
      <w:marTop w:val="0"/>
      <w:marBottom w:val="0"/>
      <w:divBdr>
        <w:top w:val="none" w:sz="0" w:space="0" w:color="auto"/>
        <w:left w:val="none" w:sz="0" w:space="0" w:color="auto"/>
        <w:bottom w:val="none" w:sz="0" w:space="0" w:color="auto"/>
        <w:right w:val="none" w:sz="0" w:space="0" w:color="auto"/>
      </w:divBdr>
    </w:div>
    <w:div w:id="1804542258">
      <w:bodyDiv w:val="1"/>
      <w:marLeft w:val="0"/>
      <w:marRight w:val="0"/>
      <w:marTop w:val="0"/>
      <w:marBottom w:val="0"/>
      <w:divBdr>
        <w:top w:val="none" w:sz="0" w:space="0" w:color="auto"/>
        <w:left w:val="none" w:sz="0" w:space="0" w:color="auto"/>
        <w:bottom w:val="none" w:sz="0" w:space="0" w:color="auto"/>
        <w:right w:val="none" w:sz="0" w:space="0" w:color="auto"/>
      </w:divBdr>
      <w:divsChild>
        <w:div w:id="2117673379">
          <w:marLeft w:val="0"/>
          <w:marRight w:val="0"/>
          <w:marTop w:val="0"/>
          <w:marBottom w:val="0"/>
          <w:divBdr>
            <w:top w:val="none" w:sz="0" w:space="0" w:color="auto"/>
            <w:left w:val="none" w:sz="0" w:space="0" w:color="auto"/>
            <w:bottom w:val="none" w:sz="0" w:space="0" w:color="auto"/>
            <w:right w:val="none" w:sz="0" w:space="0" w:color="auto"/>
          </w:divBdr>
        </w:div>
      </w:divsChild>
    </w:div>
    <w:div w:id="1858541464">
      <w:bodyDiv w:val="1"/>
      <w:marLeft w:val="0"/>
      <w:marRight w:val="0"/>
      <w:marTop w:val="0"/>
      <w:marBottom w:val="0"/>
      <w:divBdr>
        <w:top w:val="none" w:sz="0" w:space="0" w:color="auto"/>
        <w:left w:val="none" w:sz="0" w:space="0" w:color="auto"/>
        <w:bottom w:val="none" w:sz="0" w:space="0" w:color="auto"/>
        <w:right w:val="none" w:sz="0" w:space="0" w:color="auto"/>
      </w:divBdr>
    </w:div>
    <w:div w:id="2039549927">
      <w:bodyDiv w:val="1"/>
      <w:marLeft w:val="0"/>
      <w:marRight w:val="0"/>
      <w:marTop w:val="0"/>
      <w:marBottom w:val="0"/>
      <w:divBdr>
        <w:top w:val="none" w:sz="0" w:space="0" w:color="auto"/>
        <w:left w:val="none" w:sz="0" w:space="0" w:color="auto"/>
        <w:bottom w:val="none" w:sz="0" w:space="0" w:color="auto"/>
        <w:right w:val="none" w:sz="0" w:space="0" w:color="auto"/>
      </w:divBdr>
    </w:div>
    <w:div w:id="2080519512">
      <w:bodyDiv w:val="1"/>
      <w:marLeft w:val="0"/>
      <w:marRight w:val="0"/>
      <w:marTop w:val="0"/>
      <w:marBottom w:val="0"/>
      <w:divBdr>
        <w:top w:val="none" w:sz="0" w:space="0" w:color="auto"/>
        <w:left w:val="none" w:sz="0" w:space="0" w:color="auto"/>
        <w:bottom w:val="none" w:sz="0" w:space="0" w:color="auto"/>
        <w:right w:val="none" w:sz="0" w:space="0" w:color="auto"/>
      </w:divBdr>
    </w:div>
    <w:div w:id="2119180396">
      <w:bodyDiv w:val="1"/>
      <w:marLeft w:val="0"/>
      <w:marRight w:val="0"/>
      <w:marTop w:val="0"/>
      <w:marBottom w:val="0"/>
      <w:divBdr>
        <w:top w:val="none" w:sz="0" w:space="0" w:color="auto"/>
        <w:left w:val="none" w:sz="0" w:space="0" w:color="auto"/>
        <w:bottom w:val="none" w:sz="0" w:space="0" w:color="auto"/>
        <w:right w:val="none" w:sz="0" w:space="0" w:color="auto"/>
      </w:divBdr>
    </w:div>
    <w:div w:id="212063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leggiditalia.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leggiditalia.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leggiditalia.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1a6a491-bb1e-4a3f-ac72-4534129e3bfe" xsi:nil="true"/>
    <lcf76f155ced4ddcb4097134ff3c332f xmlns="5c5a470d-6ebb-4b24-89eb-b38f91eb12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59E45D61C5FAC4785BDAA48ED215C4C" ma:contentTypeVersion="13" ma:contentTypeDescription="Creare un nuovo documento." ma:contentTypeScope="" ma:versionID="b0baf1046fe156a9a26a13cac6c3992c">
  <xsd:schema xmlns:xsd="http://www.w3.org/2001/XMLSchema" xmlns:xs="http://www.w3.org/2001/XMLSchema" xmlns:p="http://schemas.microsoft.com/office/2006/metadata/properties" xmlns:ns2="5c5a470d-6ebb-4b24-89eb-b38f91eb1214" xmlns:ns3="91a6a491-bb1e-4a3f-ac72-4534129e3bfe" targetNamespace="http://schemas.microsoft.com/office/2006/metadata/properties" ma:root="true" ma:fieldsID="cce8d0f041882bcccd02af62514129dd" ns2:_="" ns3:_="">
    <xsd:import namespace="5c5a470d-6ebb-4b24-89eb-b38f91eb1214"/>
    <xsd:import namespace="91a6a491-bb1e-4a3f-ac72-4534129e3b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a470d-6ebb-4b24-89eb-b38f91eb1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71bb2967-c362-44f9-8b79-c0367f23253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6a491-bb1e-4a3f-ac72-4534129e3bfe"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91b46940-e456-4e93-96a6-768948c5503a}" ma:internalName="TaxCatchAll" ma:showField="CatchAllData" ma:web="91a6a491-bb1e-4a3f-ac72-4534129e3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18C78-7C02-4759-B4E8-4A744C64C1CE}">
  <ds:schemaRefs>
    <ds:schemaRef ds:uri="http://schemas.microsoft.com/sharepoint/v3/contenttype/forms"/>
  </ds:schemaRefs>
</ds:datastoreItem>
</file>

<file path=customXml/itemProps2.xml><?xml version="1.0" encoding="utf-8"?>
<ds:datastoreItem xmlns:ds="http://schemas.openxmlformats.org/officeDocument/2006/customXml" ds:itemID="{9803D65B-FCB8-413F-B965-99585C88CCE0}">
  <ds:schemaRefs>
    <ds:schemaRef ds:uri="http://schemas.microsoft.com/office/2006/metadata/properties"/>
    <ds:schemaRef ds:uri="http://schemas.microsoft.com/office/infopath/2007/PartnerControls"/>
    <ds:schemaRef ds:uri="91a6a491-bb1e-4a3f-ac72-4534129e3bfe"/>
    <ds:schemaRef ds:uri="5c5a470d-6ebb-4b24-89eb-b38f91eb1214"/>
  </ds:schemaRefs>
</ds:datastoreItem>
</file>

<file path=customXml/itemProps3.xml><?xml version="1.0" encoding="utf-8"?>
<ds:datastoreItem xmlns:ds="http://schemas.openxmlformats.org/officeDocument/2006/customXml" ds:itemID="{67994799-821D-4423-B034-1D6B18FD8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a470d-6ebb-4b24-89eb-b38f91eb1214"/>
    <ds:schemaRef ds:uri="91a6a491-bb1e-4a3f-ac72-4534129e3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3EDB8F-07AF-43FE-B95E-7996EDCB7056}">
  <ds:schemaRefs>
    <ds:schemaRef ds:uri="http://schemas.openxmlformats.org/officeDocument/2006/bibliography"/>
  </ds:schemaRefs>
</ds:datastoreItem>
</file>

<file path=docMetadata/LabelInfo.xml><?xml version="1.0" encoding="utf-8"?>
<clbl:labelList xmlns:clbl="http://schemas.microsoft.com/office/2020/mipLabelMetadata">
  <clbl:label id="{bb1a63eb-eb09-471a-a005-37b07792a5b5}" enabled="0" method="" siteId="{bb1a63eb-eb09-471a-a005-37b07792a5b5}" removed="1"/>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7354</Words>
  <Characters>41918</Characters>
  <Application>Microsoft Office Word</Application>
  <DocSecurity>0</DocSecurity>
  <Lines>349</Lines>
  <Paragraphs>98</Paragraphs>
  <ScaleCrop>false</ScaleCrop>
  <HeadingPairs>
    <vt:vector size="2" baseType="variant">
      <vt:variant>
        <vt:lpstr>Titolo</vt:lpstr>
      </vt:variant>
      <vt:variant>
        <vt:i4>1</vt:i4>
      </vt:variant>
    </vt:vector>
  </HeadingPairs>
  <TitlesOfParts>
    <vt:vector size="1" baseType="lpstr">
      <vt:lpstr/>
    </vt:vector>
  </TitlesOfParts>
  <Company>MLPS</Company>
  <LinksUpToDate>false</LinksUpToDate>
  <CharactersWithSpaces>49174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Ferrante Angela</dc:creator>
  <cp:lastModifiedBy>Samantha Palombo</cp:lastModifiedBy>
  <cp:revision>2</cp:revision>
  <cp:lastPrinted>2022-07-22T12:07:00Z</cp:lastPrinted>
  <dcterms:created xsi:type="dcterms:W3CDTF">2026-03-18T16:24:00Z</dcterms:created>
  <dcterms:modified xsi:type="dcterms:W3CDTF">2026-03-18T16:24:00Z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0x010100259E45D61C5FAC4785BDAA48ED215C4C</vt:lpwstr>
  </property>
  <property fmtid="{D5CDD505-2E9C-101B-9397-08002B2CF9AE}" pid="3" name="MediaServiceImageTags">
    <vt:lpwstr/>
  </property>
</Properties>
</file>